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6" w:rsidRDefault="004854FD" w:rsidP="004854FD">
      <w:pPr>
        <w:jc w:val="left"/>
        <w:rPr>
          <w:b/>
          <w:sz w:val="28"/>
          <w:szCs w:val="28"/>
          <w:lang w:val="fr-CH"/>
        </w:rPr>
      </w:pPr>
      <w:r w:rsidRPr="004854FD">
        <w:rPr>
          <w:b/>
          <w:noProof/>
          <w:sz w:val="28"/>
          <w:szCs w:val="28"/>
          <w:lang w:val="en-US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4803775</wp:posOffset>
            </wp:positionH>
            <wp:positionV relativeFrom="line">
              <wp:posOffset>-320675</wp:posOffset>
            </wp:positionV>
            <wp:extent cx="610870" cy="609600"/>
            <wp:effectExtent l="19050" t="0" r="0" b="0"/>
            <wp:wrapSquare wrapText="bothSides"/>
            <wp:docPr id="4" name="Bild 2" descr="Croix-Rouge Haïtienn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Croix-Rouge Haïtienn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inline distT="0" distB="0" distL="0" distR="0">
            <wp:extent cx="1116975" cy="264160"/>
            <wp:effectExtent l="19050" t="0" r="6975" b="0"/>
            <wp:docPr id="3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kt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r="-76" b="-20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48" cy="26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4FD" w:rsidRDefault="004854FD" w:rsidP="004854FD">
      <w:pPr>
        <w:jc w:val="left"/>
        <w:rPr>
          <w:b/>
          <w:sz w:val="28"/>
          <w:szCs w:val="28"/>
          <w:lang w:val="fr-CH"/>
        </w:rPr>
      </w:pPr>
    </w:p>
    <w:p w:rsidR="006F1943" w:rsidRPr="004854FD" w:rsidRDefault="006F1943" w:rsidP="004854FD">
      <w:pPr>
        <w:jc w:val="center"/>
        <w:rPr>
          <w:rFonts w:ascii="Arial" w:hAnsi="Arial" w:cs="Arial"/>
          <w:b/>
          <w:sz w:val="22"/>
          <w:szCs w:val="22"/>
          <w:lang w:val="fr-CH"/>
        </w:rPr>
      </w:pPr>
      <w:r w:rsidRPr="004854FD">
        <w:rPr>
          <w:rFonts w:ascii="Arial" w:hAnsi="Arial" w:cs="Arial"/>
          <w:b/>
          <w:sz w:val="22"/>
          <w:szCs w:val="22"/>
          <w:lang w:val="fr-CH"/>
        </w:rPr>
        <w:t>AVIS DE RECRUTEMENT</w:t>
      </w:r>
    </w:p>
    <w:p w:rsidR="00174D73" w:rsidRPr="004854FD" w:rsidRDefault="00174D73" w:rsidP="001D21CC">
      <w:pPr>
        <w:rPr>
          <w:rFonts w:ascii="Arial" w:hAnsi="Arial" w:cs="Arial"/>
          <w:b/>
          <w:sz w:val="22"/>
          <w:szCs w:val="22"/>
          <w:lang w:val="fr-CH"/>
        </w:rPr>
      </w:pPr>
    </w:p>
    <w:p w:rsidR="00174D73" w:rsidRPr="004854FD" w:rsidRDefault="00174D73" w:rsidP="001D21CC">
      <w:pPr>
        <w:rPr>
          <w:rFonts w:ascii="Arial" w:hAnsi="Arial" w:cs="Arial"/>
          <w:sz w:val="22"/>
          <w:szCs w:val="22"/>
          <w:lang w:val="fr-CH"/>
        </w:rPr>
      </w:pPr>
      <w:r w:rsidRPr="004854FD">
        <w:rPr>
          <w:rFonts w:ascii="Arial" w:hAnsi="Arial" w:cs="Arial"/>
          <w:sz w:val="22"/>
          <w:szCs w:val="22"/>
          <w:lang w:val="fr-CH"/>
        </w:rPr>
        <w:t xml:space="preserve">La </w:t>
      </w:r>
      <w:r w:rsidR="009959DD" w:rsidRPr="004854FD">
        <w:rPr>
          <w:rFonts w:ascii="Arial" w:hAnsi="Arial" w:cs="Arial"/>
          <w:sz w:val="22"/>
          <w:szCs w:val="22"/>
          <w:lang w:val="fr-CH"/>
        </w:rPr>
        <w:t xml:space="preserve">Société Nationale de la </w:t>
      </w:r>
      <w:r w:rsidRPr="004854FD">
        <w:rPr>
          <w:rFonts w:ascii="Arial" w:hAnsi="Arial" w:cs="Arial"/>
          <w:sz w:val="22"/>
          <w:szCs w:val="22"/>
          <w:lang w:val="fr-CH"/>
        </w:rPr>
        <w:t xml:space="preserve">Croix-Rouge </w:t>
      </w:r>
      <w:r w:rsidR="009D3C3E" w:rsidRPr="004854FD">
        <w:rPr>
          <w:rFonts w:ascii="Arial" w:hAnsi="Arial" w:cs="Arial"/>
          <w:sz w:val="22"/>
          <w:szCs w:val="22"/>
          <w:lang w:val="fr-CH"/>
        </w:rPr>
        <w:t>Haïtienne</w:t>
      </w:r>
      <w:r w:rsidRPr="004854FD">
        <w:rPr>
          <w:rFonts w:ascii="Arial" w:hAnsi="Arial" w:cs="Arial"/>
          <w:sz w:val="22"/>
          <w:szCs w:val="22"/>
          <w:lang w:val="fr-CH"/>
        </w:rPr>
        <w:t xml:space="preserve">, en collaboration avec son partenaire la Croix-Rouge </w:t>
      </w:r>
      <w:r w:rsidR="00BE70E6">
        <w:rPr>
          <w:rFonts w:ascii="Arial" w:hAnsi="Arial" w:cs="Arial"/>
          <w:sz w:val="22"/>
          <w:szCs w:val="22"/>
          <w:lang w:val="fr-CH"/>
        </w:rPr>
        <w:t>s</w:t>
      </w:r>
      <w:r w:rsidR="009959DD" w:rsidRPr="004854FD">
        <w:rPr>
          <w:rFonts w:ascii="Arial" w:hAnsi="Arial" w:cs="Arial"/>
          <w:sz w:val="22"/>
          <w:szCs w:val="22"/>
          <w:lang w:val="fr-CH"/>
        </w:rPr>
        <w:t>uisse</w:t>
      </w:r>
      <w:r w:rsidRPr="004854FD">
        <w:rPr>
          <w:rFonts w:ascii="Arial" w:hAnsi="Arial" w:cs="Arial"/>
          <w:sz w:val="22"/>
          <w:szCs w:val="22"/>
          <w:lang w:val="fr-CH"/>
        </w:rPr>
        <w:t xml:space="preserve">, </w:t>
      </w:r>
      <w:r w:rsidR="00956358" w:rsidRPr="004854FD">
        <w:rPr>
          <w:rFonts w:ascii="Arial" w:hAnsi="Arial" w:cs="Arial"/>
          <w:sz w:val="22"/>
          <w:szCs w:val="22"/>
          <w:lang w:val="fr-CH"/>
        </w:rPr>
        <w:t>souhaite recruter</w:t>
      </w:r>
      <w:r w:rsidRPr="004854FD">
        <w:rPr>
          <w:rFonts w:ascii="Arial" w:hAnsi="Arial" w:cs="Arial"/>
          <w:sz w:val="22"/>
          <w:szCs w:val="22"/>
          <w:lang w:val="fr-CH"/>
        </w:rPr>
        <w:t> :</w:t>
      </w:r>
    </w:p>
    <w:p w:rsidR="00A36145" w:rsidRPr="004854FD" w:rsidRDefault="00A36145" w:rsidP="001D21CC">
      <w:pPr>
        <w:rPr>
          <w:rFonts w:ascii="Arial" w:hAnsi="Arial" w:cs="Arial"/>
          <w:b/>
          <w:sz w:val="22"/>
          <w:szCs w:val="22"/>
          <w:lang w:val="fr-CH"/>
        </w:rPr>
      </w:pPr>
    </w:p>
    <w:p w:rsidR="00956358" w:rsidRDefault="00E77E3A" w:rsidP="004854FD">
      <w:pPr>
        <w:jc w:val="center"/>
        <w:rPr>
          <w:rFonts w:ascii="Arial" w:hAnsi="Arial" w:cs="Arial"/>
          <w:b/>
          <w:sz w:val="22"/>
          <w:szCs w:val="22"/>
          <w:lang w:val="fr-CH"/>
        </w:rPr>
      </w:pPr>
      <w:r w:rsidRPr="004854FD">
        <w:rPr>
          <w:rFonts w:ascii="Arial" w:hAnsi="Arial" w:cs="Arial"/>
          <w:b/>
          <w:sz w:val="22"/>
          <w:szCs w:val="22"/>
          <w:lang w:val="fr-CH"/>
        </w:rPr>
        <w:t>Un</w:t>
      </w:r>
      <w:r w:rsidR="003F6DE3" w:rsidRPr="004854FD">
        <w:rPr>
          <w:rFonts w:ascii="Arial" w:hAnsi="Arial" w:cs="Arial"/>
          <w:b/>
          <w:sz w:val="22"/>
          <w:szCs w:val="22"/>
          <w:lang w:val="fr-CH"/>
        </w:rPr>
        <w:t xml:space="preserve"> / une</w:t>
      </w:r>
      <w:r w:rsidRPr="004854FD">
        <w:rPr>
          <w:rFonts w:ascii="Arial" w:hAnsi="Arial" w:cs="Arial"/>
          <w:b/>
          <w:sz w:val="22"/>
          <w:szCs w:val="22"/>
          <w:lang w:val="fr-CH"/>
        </w:rPr>
        <w:t xml:space="preserve"> </w:t>
      </w:r>
      <w:r w:rsidR="002D4EDC">
        <w:rPr>
          <w:rFonts w:ascii="Arial" w:hAnsi="Arial" w:cs="Arial"/>
          <w:b/>
          <w:sz w:val="22"/>
          <w:szCs w:val="22"/>
          <w:lang w:val="fr-CH"/>
        </w:rPr>
        <w:t>Responsable</w:t>
      </w:r>
      <w:r w:rsidR="008B1C97" w:rsidRPr="004854FD">
        <w:rPr>
          <w:rFonts w:ascii="Arial" w:hAnsi="Arial" w:cs="Arial"/>
          <w:b/>
          <w:sz w:val="22"/>
          <w:szCs w:val="22"/>
          <w:lang w:val="fr-CH"/>
        </w:rPr>
        <w:t xml:space="preserve"> en Finances et Administration</w:t>
      </w:r>
    </w:p>
    <w:p w:rsidR="004854FD" w:rsidRPr="004854FD" w:rsidRDefault="004854FD" w:rsidP="004854FD">
      <w:pPr>
        <w:jc w:val="center"/>
        <w:rPr>
          <w:rFonts w:ascii="Arial" w:hAnsi="Arial" w:cs="Arial"/>
          <w:b/>
          <w:sz w:val="22"/>
          <w:szCs w:val="22"/>
          <w:lang w:val="fr-CH"/>
        </w:rPr>
      </w:pPr>
    </w:p>
    <w:p w:rsidR="00A43ECD" w:rsidRDefault="00174D73">
      <w:pPr>
        <w:rPr>
          <w:rFonts w:ascii="Arial" w:hAnsi="Arial" w:cs="Arial"/>
          <w:b/>
          <w:sz w:val="22"/>
          <w:szCs w:val="22"/>
          <w:lang w:val="fr-CH"/>
        </w:rPr>
      </w:pPr>
      <w:r w:rsidRPr="004854FD">
        <w:rPr>
          <w:rFonts w:ascii="Arial" w:hAnsi="Arial" w:cs="Arial"/>
          <w:b/>
          <w:sz w:val="22"/>
          <w:szCs w:val="22"/>
          <w:lang w:val="fr-CH"/>
        </w:rPr>
        <w:t xml:space="preserve">Lieu d’affectation : </w:t>
      </w:r>
    </w:p>
    <w:p w:rsidR="00A43ECD" w:rsidRDefault="008B1C97">
      <w:pPr>
        <w:rPr>
          <w:rFonts w:ascii="Arial" w:hAnsi="Arial" w:cs="Arial"/>
          <w:sz w:val="22"/>
          <w:szCs w:val="22"/>
          <w:lang w:val="fr-CH"/>
        </w:rPr>
      </w:pPr>
      <w:r w:rsidRPr="004854FD">
        <w:rPr>
          <w:rFonts w:ascii="Arial" w:hAnsi="Arial" w:cs="Arial"/>
          <w:sz w:val="22"/>
          <w:szCs w:val="22"/>
          <w:lang w:val="fr-CH"/>
        </w:rPr>
        <w:t>L</w:t>
      </w:r>
      <w:r w:rsidR="002D4EDC">
        <w:rPr>
          <w:rFonts w:ascii="Arial" w:hAnsi="Arial" w:cs="Arial"/>
          <w:sz w:val="22"/>
          <w:szCs w:val="22"/>
          <w:lang w:val="fr-CH"/>
        </w:rPr>
        <w:t>e Responsable</w:t>
      </w:r>
      <w:r w:rsidRPr="004854FD">
        <w:rPr>
          <w:rFonts w:ascii="Arial" w:hAnsi="Arial" w:cs="Arial"/>
          <w:sz w:val="22"/>
          <w:szCs w:val="22"/>
          <w:lang w:val="fr-CH"/>
        </w:rPr>
        <w:t xml:space="preserve"> </w:t>
      </w:r>
      <w:r w:rsidR="002D4EDC">
        <w:rPr>
          <w:rFonts w:ascii="Arial" w:hAnsi="Arial" w:cs="Arial"/>
          <w:sz w:val="22"/>
          <w:szCs w:val="22"/>
          <w:lang w:val="fr-CH"/>
        </w:rPr>
        <w:t xml:space="preserve">en Finances et Administration </w:t>
      </w:r>
      <w:r w:rsidRPr="004854FD">
        <w:rPr>
          <w:rFonts w:ascii="Arial" w:hAnsi="Arial" w:cs="Arial"/>
          <w:sz w:val="22"/>
          <w:szCs w:val="22"/>
          <w:lang w:val="fr-CH"/>
        </w:rPr>
        <w:t xml:space="preserve"> sera d’abord basé à Pétion-ville et </w:t>
      </w:r>
      <w:r w:rsidR="002D4EDC">
        <w:rPr>
          <w:rFonts w:ascii="Arial" w:hAnsi="Arial" w:cs="Arial"/>
          <w:sz w:val="22"/>
          <w:szCs w:val="22"/>
          <w:lang w:val="fr-CH"/>
        </w:rPr>
        <w:t>à partir du juillet 2013</w:t>
      </w:r>
      <w:r w:rsidRPr="004854FD">
        <w:rPr>
          <w:rFonts w:ascii="Arial" w:hAnsi="Arial" w:cs="Arial"/>
          <w:sz w:val="22"/>
          <w:szCs w:val="22"/>
          <w:lang w:val="fr-CH"/>
        </w:rPr>
        <w:t xml:space="preserve"> à Léogâne.</w:t>
      </w:r>
    </w:p>
    <w:p w:rsidR="00A43ECD" w:rsidRDefault="00A43ECD">
      <w:pPr>
        <w:rPr>
          <w:rFonts w:ascii="Arial" w:hAnsi="Arial" w:cs="Arial"/>
          <w:sz w:val="22"/>
          <w:szCs w:val="22"/>
          <w:lang w:val="fr-CH"/>
        </w:rPr>
      </w:pPr>
    </w:p>
    <w:p w:rsidR="00A43ECD" w:rsidRDefault="008B1C97">
      <w:pPr>
        <w:rPr>
          <w:rFonts w:ascii="Arial" w:hAnsi="Arial" w:cs="Arial"/>
          <w:b/>
          <w:sz w:val="22"/>
          <w:szCs w:val="22"/>
          <w:lang w:val="fr-CH"/>
        </w:rPr>
      </w:pPr>
      <w:r w:rsidRPr="004854FD">
        <w:rPr>
          <w:rFonts w:ascii="Arial" w:hAnsi="Arial" w:cs="Arial"/>
          <w:b/>
          <w:sz w:val="22"/>
          <w:szCs w:val="22"/>
          <w:lang w:val="fr-CH"/>
        </w:rPr>
        <w:t xml:space="preserve">Cadre général : </w:t>
      </w:r>
    </w:p>
    <w:p w:rsidR="008B1C97" w:rsidRPr="004854FD" w:rsidRDefault="008B1C97" w:rsidP="002D4EDC">
      <w:pPr>
        <w:rPr>
          <w:rFonts w:ascii="Arial" w:hAnsi="Arial"/>
          <w:sz w:val="22"/>
          <w:szCs w:val="22"/>
          <w:lang w:val="fr-BE"/>
        </w:rPr>
      </w:pPr>
      <w:r w:rsidRPr="004854FD">
        <w:rPr>
          <w:rFonts w:ascii="Arial" w:hAnsi="Arial"/>
          <w:sz w:val="22"/>
          <w:szCs w:val="22"/>
          <w:lang w:val="fr-BE"/>
        </w:rPr>
        <w:t xml:space="preserve">L’Officier Finances et Administration fait parti de la Délégation de la Croix-Rouge Suisse en Haïti (CRS). </w:t>
      </w:r>
      <w:r w:rsidR="004854FD">
        <w:rPr>
          <w:rFonts w:ascii="Arial" w:hAnsi="Arial"/>
          <w:sz w:val="22"/>
          <w:szCs w:val="22"/>
          <w:lang w:val="fr-BE"/>
        </w:rPr>
        <w:t xml:space="preserve"> </w:t>
      </w:r>
      <w:r w:rsidRPr="004854FD">
        <w:rPr>
          <w:rFonts w:ascii="Arial" w:hAnsi="Arial"/>
          <w:sz w:val="22"/>
          <w:szCs w:val="22"/>
          <w:lang w:val="fr-BE"/>
        </w:rPr>
        <w:t xml:space="preserve">Il/elle reprendra graduellement les responsabilités de la Déléguée </w:t>
      </w:r>
      <w:r w:rsidR="002D4EDC">
        <w:rPr>
          <w:rFonts w:ascii="Arial" w:hAnsi="Arial"/>
          <w:sz w:val="22"/>
          <w:szCs w:val="22"/>
          <w:lang w:val="fr-BE"/>
        </w:rPr>
        <w:t>Finances et Administration</w:t>
      </w:r>
      <w:r w:rsidRPr="004854FD">
        <w:rPr>
          <w:rFonts w:ascii="Arial" w:hAnsi="Arial"/>
          <w:sz w:val="22"/>
          <w:szCs w:val="22"/>
          <w:lang w:val="fr-BE"/>
        </w:rPr>
        <w:t xml:space="preserve"> pour devenir responsable </w:t>
      </w:r>
      <w:r w:rsidR="002D4EDC">
        <w:rPr>
          <w:rFonts w:ascii="Arial" w:hAnsi="Arial"/>
          <w:sz w:val="22"/>
          <w:szCs w:val="22"/>
          <w:lang w:val="fr-BE"/>
        </w:rPr>
        <w:t xml:space="preserve">en </w:t>
      </w:r>
      <w:r w:rsidR="002D4EDC" w:rsidRPr="004854FD">
        <w:rPr>
          <w:rFonts w:ascii="Arial" w:hAnsi="Arial"/>
          <w:sz w:val="22"/>
          <w:szCs w:val="22"/>
          <w:lang w:val="fr-BE"/>
        </w:rPr>
        <w:t>Finances</w:t>
      </w:r>
      <w:r w:rsidR="002D4EDC">
        <w:rPr>
          <w:rFonts w:ascii="Arial" w:hAnsi="Arial"/>
          <w:sz w:val="22"/>
          <w:szCs w:val="22"/>
          <w:lang w:val="fr-BE"/>
        </w:rPr>
        <w:t xml:space="preserve"> et Administration</w:t>
      </w:r>
      <w:r w:rsidRPr="004854FD">
        <w:rPr>
          <w:rFonts w:ascii="Arial" w:hAnsi="Arial"/>
          <w:sz w:val="22"/>
          <w:szCs w:val="22"/>
          <w:lang w:val="fr-BE"/>
        </w:rPr>
        <w:t xml:space="preserve"> pour la Délégation en Haïti à partir de 2014.</w:t>
      </w:r>
    </w:p>
    <w:p w:rsidR="00A43ECD" w:rsidRDefault="00A43ECD">
      <w:pPr>
        <w:rPr>
          <w:rFonts w:ascii="Arial" w:hAnsi="Arial" w:cs="Arial"/>
          <w:sz w:val="22"/>
          <w:szCs w:val="22"/>
          <w:lang w:val="fr-CH"/>
        </w:rPr>
      </w:pPr>
    </w:p>
    <w:p w:rsidR="00A43ECD" w:rsidRDefault="008B1C97">
      <w:pPr>
        <w:rPr>
          <w:rFonts w:ascii="Arial" w:hAnsi="Arial" w:cs="Arial"/>
          <w:b/>
          <w:sz w:val="22"/>
          <w:szCs w:val="22"/>
          <w:lang w:val="fr-CH"/>
        </w:rPr>
      </w:pPr>
      <w:r w:rsidRPr="004854FD">
        <w:rPr>
          <w:rFonts w:ascii="Arial" w:hAnsi="Arial" w:cs="Arial"/>
          <w:b/>
          <w:sz w:val="22"/>
          <w:szCs w:val="22"/>
          <w:lang w:val="fr-CH"/>
        </w:rPr>
        <w:t>Responsabilité</w:t>
      </w:r>
      <w:r w:rsidR="00956358" w:rsidRPr="004854FD">
        <w:rPr>
          <w:rFonts w:ascii="Arial" w:hAnsi="Arial" w:cs="Arial"/>
          <w:b/>
          <w:sz w:val="22"/>
          <w:szCs w:val="22"/>
          <w:lang w:val="fr-CH"/>
        </w:rPr>
        <w:t>s :</w:t>
      </w:r>
    </w:p>
    <w:p w:rsidR="00A43ECD" w:rsidRDefault="00B07E14">
      <w:pPr>
        <w:ind w:firstLine="360"/>
        <w:rPr>
          <w:rFonts w:ascii="Arial" w:hAnsi="Arial" w:cs="Arial"/>
          <w:b/>
          <w:sz w:val="22"/>
          <w:szCs w:val="22"/>
          <w:lang w:val="fr-CH"/>
        </w:rPr>
      </w:pPr>
      <w:r w:rsidRPr="00B07E14">
        <w:rPr>
          <w:rFonts w:ascii="Arial" w:hAnsi="Arial" w:cs="Arial"/>
          <w:b/>
          <w:sz w:val="22"/>
          <w:szCs w:val="22"/>
          <w:lang w:val="fr-CH"/>
        </w:rPr>
        <w:t>Finances :</w:t>
      </w:r>
    </w:p>
    <w:p w:rsidR="00A43ECD" w:rsidRDefault="004854F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fr-CH"/>
        </w:rPr>
      </w:pPr>
      <w:r w:rsidRPr="004854FD">
        <w:rPr>
          <w:rFonts w:ascii="Arial" w:hAnsi="Arial" w:cs="Arial"/>
          <w:sz w:val="22"/>
          <w:szCs w:val="22"/>
          <w:lang w:val="fr-CH"/>
        </w:rPr>
        <w:t>Les budgets</w:t>
      </w:r>
      <w:r w:rsidR="008B1C97" w:rsidRPr="004854FD">
        <w:rPr>
          <w:rFonts w:ascii="Arial" w:hAnsi="Arial" w:cs="Arial"/>
          <w:sz w:val="22"/>
          <w:szCs w:val="22"/>
          <w:lang w:val="fr-CH"/>
        </w:rPr>
        <w:t> : établir des budgets pour les projets, faire leur suivi et établir les rapports financiers ;</w:t>
      </w:r>
    </w:p>
    <w:p w:rsidR="00A43ECD" w:rsidRDefault="008B1C97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fr-CH"/>
        </w:rPr>
      </w:pPr>
      <w:r w:rsidRPr="004854FD">
        <w:rPr>
          <w:rFonts w:ascii="Arial" w:hAnsi="Arial" w:cs="Arial"/>
          <w:sz w:val="22"/>
          <w:szCs w:val="22"/>
          <w:lang w:val="fr-CH"/>
        </w:rPr>
        <w:t>Gestion des liquidités ;</w:t>
      </w:r>
    </w:p>
    <w:p w:rsidR="00A43ECD" w:rsidRDefault="008B1C97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fr-CH"/>
        </w:rPr>
      </w:pPr>
      <w:r w:rsidRPr="004854FD">
        <w:rPr>
          <w:rFonts w:ascii="Arial" w:hAnsi="Arial" w:cs="Arial"/>
          <w:sz w:val="22"/>
          <w:szCs w:val="22"/>
          <w:lang w:val="fr-CH"/>
        </w:rPr>
        <w:t>Etablissement des procédures, organisation et supervision des transactions financières ;</w:t>
      </w:r>
    </w:p>
    <w:p w:rsidR="00A43ECD" w:rsidRDefault="004854F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fr-CH"/>
        </w:rPr>
      </w:pPr>
      <w:r w:rsidRPr="004854FD">
        <w:rPr>
          <w:rFonts w:ascii="Arial" w:hAnsi="Arial" w:cs="Arial"/>
          <w:sz w:val="22"/>
          <w:szCs w:val="22"/>
          <w:lang w:val="fr-CH"/>
        </w:rPr>
        <w:t>La comptabilité : organisation, maintenance, exécution et supervision ;</w:t>
      </w:r>
    </w:p>
    <w:p w:rsidR="00A43ECD" w:rsidRDefault="004854F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fr-CH"/>
        </w:rPr>
      </w:pPr>
      <w:r w:rsidRPr="004854FD">
        <w:rPr>
          <w:rFonts w:ascii="Arial" w:hAnsi="Arial" w:cs="Arial"/>
          <w:sz w:val="22"/>
          <w:szCs w:val="22"/>
          <w:lang w:val="fr-CH"/>
        </w:rPr>
        <w:t>Organisation, mise en œuvre et supervision d’un système de contrôle interne ;</w:t>
      </w:r>
    </w:p>
    <w:p w:rsidR="00A43ECD" w:rsidRDefault="004854F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fr-CH"/>
        </w:rPr>
      </w:pPr>
      <w:r w:rsidRPr="004854FD">
        <w:rPr>
          <w:rFonts w:ascii="Arial" w:hAnsi="Arial" w:cs="Arial"/>
          <w:sz w:val="22"/>
          <w:szCs w:val="22"/>
          <w:lang w:val="fr-CH"/>
        </w:rPr>
        <w:t xml:space="preserve">Le rapportage financier et autres sujets ; </w:t>
      </w:r>
    </w:p>
    <w:p w:rsidR="00A43ECD" w:rsidRDefault="004854F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fr-CH"/>
        </w:rPr>
      </w:pPr>
      <w:r w:rsidRPr="004854FD">
        <w:rPr>
          <w:rFonts w:ascii="Arial" w:hAnsi="Arial" w:cs="Arial"/>
          <w:sz w:val="22"/>
          <w:szCs w:val="22"/>
          <w:lang w:val="fr-CH"/>
        </w:rPr>
        <w:t xml:space="preserve">L’organisation d’audits externes et le suivi des recommandations ; </w:t>
      </w:r>
    </w:p>
    <w:p w:rsidR="00A43ECD" w:rsidRDefault="002D4ED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Conseiller le</w:t>
      </w:r>
      <w:r w:rsidR="004854FD" w:rsidRPr="004854FD">
        <w:rPr>
          <w:rFonts w:ascii="Arial" w:hAnsi="Arial" w:cs="Arial"/>
          <w:sz w:val="22"/>
          <w:szCs w:val="22"/>
          <w:lang w:val="fr-CH"/>
        </w:rPr>
        <w:t xml:space="preserve">  </w:t>
      </w:r>
      <w:r>
        <w:rPr>
          <w:rFonts w:ascii="Arial" w:hAnsi="Arial" w:cs="Arial"/>
          <w:sz w:val="22"/>
          <w:szCs w:val="22"/>
          <w:lang w:val="fr-CH"/>
        </w:rPr>
        <w:t>C</w:t>
      </w:r>
      <w:r w:rsidR="004854FD" w:rsidRPr="004854FD">
        <w:rPr>
          <w:rFonts w:ascii="Arial" w:hAnsi="Arial" w:cs="Arial"/>
          <w:sz w:val="22"/>
          <w:szCs w:val="22"/>
          <w:lang w:val="fr-CH"/>
        </w:rPr>
        <w:t>hef de</w:t>
      </w:r>
      <w:r>
        <w:rPr>
          <w:rFonts w:ascii="Arial" w:hAnsi="Arial" w:cs="Arial"/>
          <w:sz w:val="22"/>
          <w:szCs w:val="22"/>
          <w:lang w:val="fr-CH"/>
        </w:rPr>
        <w:t xml:space="preserve"> Délégation et </w:t>
      </w:r>
      <w:r w:rsidR="004854FD" w:rsidRPr="004854FD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 xml:space="preserve">les </w:t>
      </w:r>
      <w:r w:rsidR="004854FD" w:rsidRPr="004854FD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>R</w:t>
      </w:r>
      <w:r w:rsidR="004854FD" w:rsidRPr="004854FD">
        <w:rPr>
          <w:rFonts w:ascii="Arial" w:hAnsi="Arial" w:cs="Arial"/>
          <w:sz w:val="22"/>
          <w:szCs w:val="22"/>
          <w:lang w:val="fr-CH"/>
        </w:rPr>
        <w:t xml:space="preserve">esponsables de </w:t>
      </w:r>
      <w:r>
        <w:rPr>
          <w:rFonts w:ascii="Arial" w:hAnsi="Arial" w:cs="Arial"/>
          <w:sz w:val="22"/>
          <w:szCs w:val="22"/>
          <w:lang w:val="fr-CH"/>
        </w:rPr>
        <w:t>P</w:t>
      </w:r>
      <w:r w:rsidR="004854FD" w:rsidRPr="004854FD">
        <w:rPr>
          <w:rFonts w:ascii="Arial" w:hAnsi="Arial" w:cs="Arial"/>
          <w:sz w:val="22"/>
          <w:szCs w:val="22"/>
          <w:lang w:val="fr-CH"/>
        </w:rPr>
        <w:t xml:space="preserve">rojet dans </w:t>
      </w:r>
      <w:r w:rsidRPr="004854FD">
        <w:rPr>
          <w:rFonts w:ascii="Arial" w:hAnsi="Arial" w:cs="Arial"/>
          <w:sz w:val="22"/>
          <w:szCs w:val="22"/>
          <w:lang w:val="fr-CH"/>
        </w:rPr>
        <w:t>le</w:t>
      </w:r>
      <w:r w:rsidR="004854FD" w:rsidRPr="004854FD">
        <w:rPr>
          <w:rFonts w:ascii="Arial" w:hAnsi="Arial" w:cs="Arial"/>
          <w:sz w:val="22"/>
          <w:szCs w:val="22"/>
          <w:lang w:val="fr-CH"/>
        </w:rPr>
        <w:t xml:space="preserve"> domaine des </w:t>
      </w:r>
      <w:r>
        <w:rPr>
          <w:rFonts w:ascii="Arial" w:hAnsi="Arial" w:cs="Arial"/>
          <w:sz w:val="22"/>
          <w:szCs w:val="22"/>
          <w:lang w:val="fr-CH"/>
        </w:rPr>
        <w:t>F</w:t>
      </w:r>
      <w:r w:rsidRPr="004854FD">
        <w:rPr>
          <w:rFonts w:ascii="Arial" w:hAnsi="Arial" w:cs="Arial"/>
          <w:sz w:val="22"/>
          <w:szCs w:val="22"/>
          <w:lang w:val="fr-CH"/>
        </w:rPr>
        <w:t>inances</w:t>
      </w:r>
      <w:r w:rsidR="004854FD" w:rsidRPr="004854FD">
        <w:rPr>
          <w:rFonts w:ascii="Arial" w:hAnsi="Arial" w:cs="Arial"/>
          <w:sz w:val="22"/>
          <w:szCs w:val="22"/>
          <w:lang w:val="fr-CH"/>
        </w:rPr>
        <w:t xml:space="preserve"> et de l’</w:t>
      </w:r>
      <w:r>
        <w:rPr>
          <w:rFonts w:ascii="Arial" w:hAnsi="Arial" w:cs="Arial"/>
          <w:sz w:val="22"/>
          <w:szCs w:val="22"/>
          <w:lang w:val="fr-CH"/>
        </w:rPr>
        <w:t>A</w:t>
      </w:r>
      <w:r w:rsidR="004854FD" w:rsidRPr="004854FD">
        <w:rPr>
          <w:rFonts w:ascii="Arial" w:hAnsi="Arial" w:cs="Arial"/>
          <w:sz w:val="22"/>
          <w:szCs w:val="22"/>
          <w:lang w:val="fr-CH"/>
        </w:rPr>
        <w:t>dministration ;</w:t>
      </w:r>
    </w:p>
    <w:p w:rsidR="00A43ECD" w:rsidRPr="00AA44D1" w:rsidRDefault="002D4EDC" w:rsidP="00AA44D1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Gestion et logistique du bureau.</w:t>
      </w:r>
    </w:p>
    <w:p w:rsidR="00A43ECD" w:rsidRDefault="00B07E14">
      <w:pPr>
        <w:ind w:left="360"/>
        <w:rPr>
          <w:rFonts w:ascii="Arial" w:hAnsi="Arial" w:cs="Arial"/>
          <w:b/>
          <w:sz w:val="22"/>
          <w:szCs w:val="22"/>
          <w:lang w:val="fr-CH"/>
        </w:rPr>
      </w:pPr>
      <w:r w:rsidRPr="00B07E14">
        <w:rPr>
          <w:rFonts w:ascii="Arial" w:hAnsi="Arial" w:cs="Arial"/>
          <w:b/>
          <w:sz w:val="22"/>
          <w:szCs w:val="22"/>
          <w:lang w:val="fr-CH"/>
        </w:rPr>
        <w:t xml:space="preserve">Administration : </w:t>
      </w:r>
    </w:p>
    <w:p w:rsidR="00A43ECD" w:rsidRDefault="004854F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fr-CH"/>
        </w:rPr>
      </w:pPr>
      <w:r w:rsidRPr="004854FD">
        <w:rPr>
          <w:rFonts w:ascii="Arial" w:hAnsi="Arial" w:cs="Arial"/>
          <w:sz w:val="22"/>
          <w:szCs w:val="22"/>
          <w:lang w:val="fr-CH"/>
        </w:rPr>
        <w:t>Maintenance du système de classement ;</w:t>
      </w:r>
    </w:p>
    <w:p w:rsidR="00A43ECD" w:rsidRDefault="004854F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fr-CH"/>
        </w:rPr>
      </w:pPr>
      <w:r w:rsidRPr="004854FD">
        <w:rPr>
          <w:rFonts w:ascii="Arial" w:hAnsi="Arial" w:cs="Arial"/>
          <w:sz w:val="22"/>
          <w:szCs w:val="22"/>
          <w:lang w:val="fr-CH"/>
        </w:rPr>
        <w:t xml:space="preserve">Rédaction, vérification, suivi des contrats d’achat, de service, de partenariat et </w:t>
      </w:r>
      <w:r w:rsidR="002D4EDC">
        <w:rPr>
          <w:rFonts w:ascii="Arial" w:hAnsi="Arial" w:cs="Arial"/>
          <w:sz w:val="22"/>
          <w:szCs w:val="22"/>
          <w:lang w:val="fr-CH"/>
        </w:rPr>
        <w:t>conseiller</w:t>
      </w:r>
      <w:r w:rsidRPr="004854FD">
        <w:rPr>
          <w:rFonts w:ascii="Arial" w:hAnsi="Arial" w:cs="Arial"/>
          <w:sz w:val="22"/>
          <w:szCs w:val="22"/>
          <w:lang w:val="fr-CH"/>
        </w:rPr>
        <w:t xml:space="preserve"> </w:t>
      </w:r>
      <w:r w:rsidR="002D4EDC">
        <w:rPr>
          <w:rFonts w:ascii="Arial" w:hAnsi="Arial" w:cs="Arial"/>
          <w:sz w:val="22"/>
          <w:szCs w:val="22"/>
          <w:lang w:val="fr-CH"/>
        </w:rPr>
        <w:t>les R</w:t>
      </w:r>
      <w:r w:rsidRPr="004854FD">
        <w:rPr>
          <w:rFonts w:ascii="Arial" w:hAnsi="Arial" w:cs="Arial"/>
          <w:sz w:val="22"/>
          <w:szCs w:val="22"/>
          <w:lang w:val="fr-CH"/>
        </w:rPr>
        <w:t xml:space="preserve">esponsables de </w:t>
      </w:r>
      <w:r w:rsidR="002D4EDC">
        <w:rPr>
          <w:rFonts w:ascii="Arial" w:hAnsi="Arial" w:cs="Arial"/>
          <w:sz w:val="22"/>
          <w:szCs w:val="22"/>
          <w:lang w:val="fr-CH"/>
        </w:rPr>
        <w:t>P</w:t>
      </w:r>
      <w:r w:rsidRPr="004854FD">
        <w:rPr>
          <w:rFonts w:ascii="Arial" w:hAnsi="Arial" w:cs="Arial"/>
          <w:sz w:val="22"/>
          <w:szCs w:val="22"/>
          <w:lang w:val="fr-CH"/>
        </w:rPr>
        <w:t xml:space="preserve">rojet et </w:t>
      </w:r>
      <w:r w:rsidR="002D4EDC">
        <w:rPr>
          <w:rFonts w:ascii="Arial" w:hAnsi="Arial" w:cs="Arial"/>
          <w:sz w:val="22"/>
          <w:szCs w:val="22"/>
          <w:lang w:val="fr-CH"/>
        </w:rPr>
        <w:t>le</w:t>
      </w:r>
      <w:r w:rsidRPr="004854FD">
        <w:rPr>
          <w:rFonts w:ascii="Arial" w:hAnsi="Arial" w:cs="Arial"/>
          <w:sz w:val="22"/>
          <w:szCs w:val="22"/>
          <w:lang w:val="fr-CH"/>
        </w:rPr>
        <w:t xml:space="preserve"> </w:t>
      </w:r>
      <w:r w:rsidR="002D4EDC">
        <w:rPr>
          <w:rFonts w:ascii="Arial" w:hAnsi="Arial" w:cs="Arial"/>
          <w:sz w:val="22"/>
          <w:szCs w:val="22"/>
          <w:lang w:val="fr-CH"/>
        </w:rPr>
        <w:t>C</w:t>
      </w:r>
      <w:r w:rsidRPr="004854FD">
        <w:rPr>
          <w:rFonts w:ascii="Arial" w:hAnsi="Arial" w:cs="Arial"/>
          <w:sz w:val="22"/>
          <w:szCs w:val="22"/>
          <w:lang w:val="fr-CH"/>
        </w:rPr>
        <w:t xml:space="preserve">hef de </w:t>
      </w:r>
      <w:r w:rsidR="002D4EDC">
        <w:rPr>
          <w:rFonts w:ascii="Arial" w:hAnsi="Arial" w:cs="Arial"/>
          <w:sz w:val="22"/>
          <w:szCs w:val="22"/>
          <w:lang w:val="fr-CH"/>
        </w:rPr>
        <w:t>Délégation.</w:t>
      </w:r>
    </w:p>
    <w:p w:rsidR="00A43ECD" w:rsidRDefault="00B07E14">
      <w:pPr>
        <w:ind w:left="360"/>
        <w:rPr>
          <w:rFonts w:ascii="Arial" w:hAnsi="Arial" w:cs="Arial"/>
          <w:sz w:val="22"/>
          <w:szCs w:val="22"/>
          <w:lang w:val="fr-CH"/>
        </w:rPr>
      </w:pPr>
      <w:r w:rsidRPr="00B07E14">
        <w:rPr>
          <w:rFonts w:ascii="Arial" w:hAnsi="Arial" w:cs="Arial"/>
          <w:b/>
          <w:sz w:val="22"/>
          <w:szCs w:val="22"/>
          <w:lang w:val="fr-CH"/>
        </w:rPr>
        <w:t>Personnel </w:t>
      </w:r>
      <w:r w:rsidRPr="00B07E14">
        <w:rPr>
          <w:rFonts w:ascii="Arial" w:hAnsi="Arial" w:cs="Arial"/>
          <w:sz w:val="22"/>
          <w:szCs w:val="22"/>
          <w:lang w:val="fr-CH"/>
        </w:rPr>
        <w:t xml:space="preserve">: </w:t>
      </w:r>
    </w:p>
    <w:p w:rsidR="00A43ECD" w:rsidRDefault="004854F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fr-CH"/>
        </w:rPr>
      </w:pPr>
      <w:r w:rsidRPr="004854FD">
        <w:rPr>
          <w:rFonts w:ascii="Arial" w:hAnsi="Arial" w:cs="Arial"/>
          <w:sz w:val="22"/>
          <w:szCs w:val="22"/>
          <w:lang w:val="fr-CH"/>
        </w:rPr>
        <w:t xml:space="preserve">Recrutement, formation et supervision du personnel dans la domaine des finances et </w:t>
      </w:r>
      <w:r w:rsidR="002D4EDC" w:rsidRPr="004854FD">
        <w:rPr>
          <w:rFonts w:ascii="Arial" w:hAnsi="Arial" w:cs="Arial"/>
          <w:sz w:val="22"/>
          <w:szCs w:val="22"/>
          <w:lang w:val="fr-CH"/>
        </w:rPr>
        <w:t>administration.</w:t>
      </w:r>
    </w:p>
    <w:p w:rsidR="00A43ECD" w:rsidRDefault="00A43ECD">
      <w:pPr>
        <w:pStyle w:val="ListParagraph"/>
        <w:rPr>
          <w:rFonts w:ascii="Arial" w:hAnsi="Arial" w:cs="Arial"/>
          <w:sz w:val="22"/>
          <w:szCs w:val="22"/>
          <w:lang w:val="fr-CH"/>
        </w:rPr>
      </w:pPr>
    </w:p>
    <w:p w:rsidR="00BF6882" w:rsidRDefault="00BF6882" w:rsidP="002D4EDC">
      <w:pPr>
        <w:rPr>
          <w:rFonts w:ascii="Arial" w:hAnsi="Arial" w:cs="Arial"/>
          <w:b/>
          <w:sz w:val="22"/>
          <w:szCs w:val="22"/>
          <w:lang w:val="fr-CH"/>
        </w:rPr>
      </w:pPr>
      <w:r w:rsidRPr="004854FD">
        <w:rPr>
          <w:rFonts w:ascii="Arial" w:hAnsi="Arial" w:cs="Arial"/>
          <w:b/>
          <w:sz w:val="22"/>
          <w:szCs w:val="22"/>
          <w:lang w:val="fr-CH"/>
        </w:rPr>
        <w:t>Qualifications </w:t>
      </w:r>
      <w:r w:rsidR="00E77E3A" w:rsidRPr="004854FD">
        <w:rPr>
          <w:rFonts w:ascii="Arial" w:hAnsi="Arial" w:cs="Arial"/>
          <w:b/>
          <w:sz w:val="22"/>
          <w:szCs w:val="22"/>
          <w:lang w:val="fr-CH"/>
        </w:rPr>
        <w:t xml:space="preserve">et compétences requises </w:t>
      </w:r>
      <w:r w:rsidRPr="004854FD">
        <w:rPr>
          <w:rFonts w:ascii="Arial" w:hAnsi="Arial" w:cs="Arial"/>
          <w:b/>
          <w:sz w:val="22"/>
          <w:szCs w:val="22"/>
          <w:lang w:val="fr-CH"/>
        </w:rPr>
        <w:t>:</w:t>
      </w:r>
    </w:p>
    <w:p w:rsidR="00A43ECD" w:rsidRDefault="00B07E14">
      <w:pPr>
        <w:pStyle w:val="ListParagraph"/>
        <w:numPr>
          <w:ilvl w:val="0"/>
          <w:numId w:val="12"/>
        </w:numPr>
        <w:rPr>
          <w:rFonts w:ascii="Arial" w:hAnsi="Arial"/>
          <w:sz w:val="22"/>
          <w:szCs w:val="22"/>
          <w:lang w:val="fr-BE"/>
        </w:rPr>
      </w:pPr>
      <w:r w:rsidRPr="00B07E14">
        <w:rPr>
          <w:rFonts w:ascii="Arial" w:hAnsi="Arial"/>
          <w:sz w:val="22"/>
          <w:szCs w:val="22"/>
          <w:lang w:val="fr-BE"/>
        </w:rPr>
        <w:t>maîtrise en économie, économie appliqué, gestion ou équivalent;</w:t>
      </w:r>
    </w:p>
    <w:p w:rsidR="00A43ECD" w:rsidRDefault="00B07E14">
      <w:pPr>
        <w:numPr>
          <w:ilvl w:val="0"/>
          <w:numId w:val="13"/>
        </w:numPr>
        <w:rPr>
          <w:rFonts w:ascii="Arial" w:hAnsi="Arial"/>
          <w:sz w:val="22"/>
          <w:szCs w:val="22"/>
          <w:lang w:val="fr-BE"/>
        </w:rPr>
      </w:pPr>
      <w:r w:rsidRPr="00B07E14">
        <w:rPr>
          <w:rFonts w:ascii="Arial" w:hAnsi="Arial"/>
          <w:sz w:val="22"/>
          <w:szCs w:val="22"/>
          <w:lang w:val="fr-BE"/>
        </w:rPr>
        <w:t>au moins 3 ans d’expérience dans la gestion financière ;</w:t>
      </w:r>
    </w:p>
    <w:p w:rsidR="00A43ECD" w:rsidRDefault="00B07E14">
      <w:pPr>
        <w:numPr>
          <w:ilvl w:val="0"/>
          <w:numId w:val="13"/>
        </w:numPr>
        <w:rPr>
          <w:rFonts w:ascii="Arial" w:hAnsi="Arial"/>
          <w:sz w:val="22"/>
          <w:szCs w:val="22"/>
          <w:lang w:val="fr-BE"/>
        </w:rPr>
      </w:pPr>
      <w:r w:rsidRPr="00B07E14">
        <w:rPr>
          <w:rFonts w:ascii="Arial" w:hAnsi="Arial"/>
          <w:sz w:val="22"/>
          <w:szCs w:val="22"/>
          <w:lang w:val="fr-BE"/>
        </w:rPr>
        <w:t xml:space="preserve">bonnes connaissances en finances et comptabilités ; </w:t>
      </w:r>
    </w:p>
    <w:p w:rsidR="00A43ECD" w:rsidRDefault="002D4EDC">
      <w:pPr>
        <w:numPr>
          <w:ilvl w:val="0"/>
          <w:numId w:val="13"/>
        </w:numPr>
        <w:rPr>
          <w:rFonts w:ascii="Arial" w:hAnsi="Arial"/>
          <w:sz w:val="22"/>
          <w:szCs w:val="22"/>
          <w:lang w:val="fr-BE"/>
        </w:rPr>
      </w:pPr>
      <w:r>
        <w:rPr>
          <w:rFonts w:ascii="Arial" w:hAnsi="Arial"/>
          <w:sz w:val="22"/>
          <w:szCs w:val="22"/>
          <w:lang w:val="fr-BE"/>
        </w:rPr>
        <w:t>expérience en encadrement</w:t>
      </w:r>
      <w:r w:rsidR="003B762C">
        <w:rPr>
          <w:rFonts w:ascii="Arial" w:hAnsi="Arial"/>
          <w:sz w:val="22"/>
          <w:szCs w:val="22"/>
          <w:lang w:val="fr-BE"/>
        </w:rPr>
        <w:t xml:space="preserve"> du personnel</w:t>
      </w:r>
      <w:r>
        <w:rPr>
          <w:rFonts w:ascii="Arial" w:hAnsi="Arial"/>
          <w:sz w:val="22"/>
          <w:szCs w:val="22"/>
          <w:lang w:val="fr-BE"/>
        </w:rPr>
        <w:t> ;</w:t>
      </w:r>
    </w:p>
    <w:p w:rsidR="004854FD" w:rsidRPr="002D4EDC" w:rsidRDefault="00B07E14" w:rsidP="002D4EDC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  <w:lang w:val="fr-CH"/>
        </w:rPr>
      </w:pPr>
      <w:r w:rsidRPr="00B07E14">
        <w:rPr>
          <w:rFonts w:ascii="Arial" w:hAnsi="Arial"/>
          <w:sz w:val="22"/>
          <w:szCs w:val="22"/>
          <w:lang w:val="fr-BE"/>
        </w:rPr>
        <w:t xml:space="preserve">indépendance, sens de l’initiative, sens de responsabilité, bonne communication, </w:t>
      </w:r>
      <w:r w:rsidR="002D4EDC" w:rsidRPr="002D4EDC">
        <w:rPr>
          <w:rFonts w:ascii="Arial" w:hAnsi="Arial"/>
          <w:sz w:val="22"/>
          <w:szCs w:val="22"/>
          <w:lang w:val="fr-BE"/>
        </w:rPr>
        <w:t>discrétion</w:t>
      </w:r>
      <w:r w:rsidR="002D4EDC">
        <w:rPr>
          <w:rFonts w:ascii="Arial" w:hAnsi="Arial"/>
          <w:sz w:val="22"/>
          <w:szCs w:val="22"/>
          <w:lang w:val="fr-BE"/>
        </w:rPr>
        <w:t>,</w:t>
      </w:r>
      <w:r w:rsidR="002D4EDC" w:rsidRPr="002D4EDC">
        <w:rPr>
          <w:rFonts w:ascii="Arial" w:hAnsi="Arial"/>
          <w:sz w:val="22"/>
          <w:szCs w:val="22"/>
          <w:lang w:val="fr-BE"/>
        </w:rPr>
        <w:t xml:space="preserve"> honnêteté</w:t>
      </w:r>
      <w:r w:rsidR="002D4EDC">
        <w:rPr>
          <w:rFonts w:ascii="Arial" w:hAnsi="Arial"/>
          <w:sz w:val="22"/>
          <w:szCs w:val="22"/>
          <w:lang w:val="fr-BE"/>
        </w:rPr>
        <w:t>.</w:t>
      </w:r>
    </w:p>
    <w:p w:rsidR="003B762C" w:rsidRDefault="003B762C" w:rsidP="002D4EDC">
      <w:pPr>
        <w:rPr>
          <w:rFonts w:ascii="Arial" w:hAnsi="Arial" w:cs="Arial"/>
          <w:b/>
          <w:sz w:val="22"/>
          <w:szCs w:val="22"/>
          <w:lang w:val="fr-CH"/>
        </w:rPr>
      </w:pPr>
    </w:p>
    <w:p w:rsidR="003B762C" w:rsidRDefault="00956358" w:rsidP="002D4EDC">
      <w:pPr>
        <w:rPr>
          <w:rFonts w:ascii="Arial" w:hAnsi="Arial" w:cs="Arial"/>
          <w:b/>
          <w:sz w:val="22"/>
          <w:szCs w:val="22"/>
          <w:lang w:val="fr-CH"/>
        </w:rPr>
      </w:pPr>
      <w:r w:rsidRPr="004854FD">
        <w:rPr>
          <w:rFonts w:ascii="Arial" w:hAnsi="Arial" w:cs="Arial"/>
          <w:b/>
          <w:sz w:val="22"/>
          <w:szCs w:val="22"/>
          <w:lang w:val="fr-CH"/>
        </w:rPr>
        <w:t>Modalités des candi</w:t>
      </w:r>
      <w:r w:rsidR="008B1C97" w:rsidRPr="004854FD">
        <w:rPr>
          <w:rFonts w:ascii="Arial" w:hAnsi="Arial" w:cs="Arial"/>
          <w:b/>
          <w:sz w:val="22"/>
          <w:szCs w:val="22"/>
          <w:lang w:val="fr-CH"/>
        </w:rPr>
        <w:t>da</w:t>
      </w:r>
      <w:r w:rsidRPr="004854FD">
        <w:rPr>
          <w:rFonts w:ascii="Arial" w:hAnsi="Arial" w:cs="Arial"/>
          <w:b/>
          <w:sz w:val="22"/>
          <w:szCs w:val="22"/>
          <w:lang w:val="fr-CH"/>
        </w:rPr>
        <w:t>tures :</w:t>
      </w:r>
    </w:p>
    <w:p w:rsidR="00264DED" w:rsidRDefault="00BE70E6" w:rsidP="00BE70E6">
      <w:pPr>
        <w:rPr>
          <w:rFonts w:ascii="Arial" w:hAnsi="Arial" w:cs="Arial"/>
          <w:sz w:val="22"/>
          <w:szCs w:val="22"/>
          <w:lang w:val="fr-CH"/>
        </w:rPr>
      </w:pPr>
      <w:r w:rsidRPr="00D73AFB">
        <w:rPr>
          <w:rFonts w:ascii="Arial" w:hAnsi="Arial" w:cs="Arial"/>
          <w:sz w:val="22"/>
          <w:szCs w:val="22"/>
          <w:lang w:val="fr-CH"/>
        </w:rPr>
        <w:t>Les candidatures</w:t>
      </w:r>
      <w:r>
        <w:rPr>
          <w:rFonts w:ascii="Arial" w:hAnsi="Arial" w:cs="Arial"/>
          <w:sz w:val="22"/>
          <w:szCs w:val="22"/>
          <w:lang w:val="fr-CH"/>
        </w:rPr>
        <w:t xml:space="preserve"> sous forme de lettre de motivation et CV</w:t>
      </w:r>
      <w:r w:rsidRPr="00D73AFB">
        <w:rPr>
          <w:rFonts w:ascii="Arial" w:hAnsi="Arial" w:cs="Arial"/>
          <w:sz w:val="22"/>
          <w:szCs w:val="22"/>
          <w:lang w:val="fr-CH"/>
        </w:rPr>
        <w:t>, accompagné</w:t>
      </w:r>
      <w:r>
        <w:rPr>
          <w:rFonts w:ascii="Arial" w:hAnsi="Arial" w:cs="Arial"/>
          <w:sz w:val="22"/>
          <w:szCs w:val="22"/>
          <w:lang w:val="fr-CH"/>
        </w:rPr>
        <w:t>s du diplôme</w:t>
      </w:r>
      <w:r w:rsidR="004468C6">
        <w:rPr>
          <w:rFonts w:ascii="Arial" w:hAnsi="Arial" w:cs="Arial"/>
          <w:sz w:val="22"/>
          <w:szCs w:val="22"/>
          <w:lang w:val="fr-CH"/>
        </w:rPr>
        <w:t xml:space="preserve"> principal</w:t>
      </w:r>
      <w:r>
        <w:rPr>
          <w:rFonts w:ascii="Arial" w:hAnsi="Arial" w:cs="Arial"/>
          <w:sz w:val="22"/>
          <w:szCs w:val="22"/>
          <w:lang w:val="fr-CH"/>
        </w:rPr>
        <w:t xml:space="preserve"> et </w:t>
      </w:r>
      <w:r w:rsidRPr="00D73AFB">
        <w:rPr>
          <w:rFonts w:ascii="Arial" w:hAnsi="Arial" w:cs="Arial"/>
          <w:sz w:val="22"/>
          <w:szCs w:val="22"/>
          <w:lang w:val="fr-CH"/>
        </w:rPr>
        <w:t xml:space="preserve"> des certificats de travail, doivent être déposées </w:t>
      </w:r>
      <w:r>
        <w:rPr>
          <w:rFonts w:ascii="Arial" w:hAnsi="Arial" w:cs="Arial"/>
          <w:sz w:val="22"/>
          <w:szCs w:val="22"/>
          <w:lang w:val="fr-CH"/>
        </w:rPr>
        <w:t xml:space="preserve">au plus tard </w:t>
      </w:r>
      <w:r w:rsidR="004468C6">
        <w:rPr>
          <w:rFonts w:ascii="Arial" w:hAnsi="Arial" w:cs="Arial"/>
          <w:sz w:val="22"/>
          <w:szCs w:val="22"/>
          <w:lang w:val="fr-CH"/>
        </w:rPr>
        <w:t>le dimanche</w:t>
      </w:r>
      <w:r w:rsidR="00264DED">
        <w:rPr>
          <w:rFonts w:ascii="Arial" w:hAnsi="Arial" w:cs="Arial"/>
          <w:sz w:val="22"/>
          <w:szCs w:val="22"/>
          <w:lang w:val="fr-CH"/>
        </w:rPr>
        <w:t xml:space="preserve"> 26 mai 2013</w:t>
      </w:r>
      <w:r>
        <w:rPr>
          <w:rFonts w:ascii="Arial" w:hAnsi="Arial" w:cs="Arial"/>
          <w:sz w:val="22"/>
          <w:szCs w:val="22"/>
          <w:lang w:val="fr-CH"/>
        </w:rPr>
        <w:t xml:space="preserve">.  Elles seront sous pli fermé, ayant comme mention « Responsable finance / </w:t>
      </w:r>
      <w:r>
        <w:rPr>
          <w:rFonts w:ascii="Arial" w:hAnsi="Arial" w:cs="Arial"/>
          <w:sz w:val="22"/>
          <w:szCs w:val="22"/>
          <w:lang w:val="fr-CH"/>
        </w:rPr>
        <w:lastRenderedPageBreak/>
        <w:t>administration » et adressées à</w:t>
      </w:r>
      <w:r w:rsidRPr="00D73AFB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 xml:space="preserve"> Mme Hilde Schalenbourg, Déléguée FIN ADMIN, angle Rue Vilatte</w:t>
      </w:r>
      <w:r w:rsidR="00264DED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>/</w:t>
      </w:r>
      <w:r w:rsidR="00264DED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>Dr.Wallon (env</w:t>
      </w:r>
      <w:r w:rsidR="00264DED">
        <w:rPr>
          <w:rFonts w:ascii="Arial" w:hAnsi="Arial" w:cs="Arial"/>
          <w:sz w:val="22"/>
          <w:szCs w:val="22"/>
          <w:lang w:val="fr-CH"/>
        </w:rPr>
        <w:t>iron Place Boyer), Pétion-Ville ou envoyé</w:t>
      </w:r>
      <w:r w:rsidR="004468C6">
        <w:rPr>
          <w:rFonts w:ascii="Arial" w:hAnsi="Arial" w:cs="Arial"/>
          <w:sz w:val="22"/>
          <w:szCs w:val="22"/>
          <w:lang w:val="fr-CH"/>
        </w:rPr>
        <w:t>e</w:t>
      </w:r>
      <w:r w:rsidR="00264DED">
        <w:rPr>
          <w:rFonts w:ascii="Arial" w:hAnsi="Arial" w:cs="Arial"/>
          <w:sz w:val="22"/>
          <w:szCs w:val="22"/>
          <w:lang w:val="fr-CH"/>
        </w:rPr>
        <w:t xml:space="preserve">s par courriel à l’adresse suivante : </w:t>
      </w:r>
      <w:hyperlink r:id="rId8" w:history="1">
        <w:r w:rsidR="00264DED" w:rsidRPr="00CA7BA5">
          <w:rPr>
            <w:rStyle w:val="Hyperlink"/>
            <w:rFonts w:ascii="Arial" w:hAnsi="Arial" w:cs="Arial"/>
            <w:sz w:val="22"/>
            <w:szCs w:val="22"/>
            <w:lang w:val="fr-CH"/>
          </w:rPr>
          <w:t>hilde.schalenbourg@redcross.ch</w:t>
        </w:r>
      </w:hyperlink>
      <w:r w:rsidR="00264DED">
        <w:rPr>
          <w:rFonts w:ascii="Arial" w:hAnsi="Arial" w:cs="Arial"/>
          <w:sz w:val="22"/>
          <w:szCs w:val="22"/>
          <w:lang w:val="fr-CH"/>
        </w:rPr>
        <w:t xml:space="preserve"> .</w:t>
      </w:r>
    </w:p>
    <w:p w:rsidR="00BE70E6" w:rsidRPr="00D73AFB" w:rsidRDefault="00BE70E6" w:rsidP="00BE70E6">
      <w:pPr>
        <w:rPr>
          <w:rFonts w:ascii="Arial" w:hAnsi="Arial" w:cs="Arial"/>
          <w:sz w:val="22"/>
          <w:szCs w:val="22"/>
          <w:lang w:val="fr-CH"/>
        </w:rPr>
      </w:pPr>
      <w:r w:rsidRPr="00D73AFB">
        <w:rPr>
          <w:rFonts w:ascii="Arial" w:hAnsi="Arial" w:cs="Arial"/>
          <w:sz w:val="22"/>
          <w:szCs w:val="22"/>
          <w:lang w:val="fr-CH"/>
        </w:rPr>
        <w:t xml:space="preserve"> </w:t>
      </w:r>
    </w:p>
    <w:p w:rsidR="00BE70E6" w:rsidRDefault="00BE70E6" w:rsidP="00BE70E6">
      <w:pPr>
        <w:rPr>
          <w:rFonts w:ascii="Arial" w:hAnsi="Arial" w:cs="Arial"/>
          <w:b/>
          <w:sz w:val="22"/>
          <w:szCs w:val="22"/>
          <w:lang w:val="fr-CH"/>
        </w:rPr>
      </w:pPr>
      <w:r w:rsidRPr="00D73AFB">
        <w:rPr>
          <w:rFonts w:ascii="Arial" w:hAnsi="Arial" w:cs="Arial"/>
          <w:b/>
          <w:sz w:val="22"/>
          <w:szCs w:val="22"/>
          <w:lang w:val="fr-CH"/>
        </w:rPr>
        <w:t xml:space="preserve">NB : </w:t>
      </w:r>
    </w:p>
    <w:p w:rsidR="00BE70E6" w:rsidRDefault="00BE70E6" w:rsidP="00BE70E6">
      <w:pPr>
        <w:rPr>
          <w:rFonts w:ascii="Arial" w:hAnsi="Arial" w:cs="Arial"/>
          <w:sz w:val="22"/>
          <w:szCs w:val="22"/>
          <w:lang w:val="fr-CH"/>
        </w:rPr>
      </w:pPr>
      <w:r w:rsidRPr="00D73AFB">
        <w:rPr>
          <w:rFonts w:ascii="Arial" w:hAnsi="Arial" w:cs="Arial"/>
          <w:sz w:val="22"/>
          <w:szCs w:val="22"/>
          <w:lang w:val="fr-CH"/>
        </w:rPr>
        <w:t>Seuls les dossiers complets</w:t>
      </w:r>
      <w:r>
        <w:rPr>
          <w:rFonts w:ascii="Arial" w:hAnsi="Arial" w:cs="Arial"/>
          <w:sz w:val="22"/>
          <w:szCs w:val="22"/>
          <w:lang w:val="fr-CH"/>
        </w:rPr>
        <w:t xml:space="preserve"> et reçus dans les délais</w:t>
      </w:r>
      <w:r w:rsidRPr="00D73AFB">
        <w:rPr>
          <w:rFonts w:ascii="Arial" w:hAnsi="Arial" w:cs="Arial"/>
          <w:sz w:val="22"/>
          <w:szCs w:val="22"/>
          <w:lang w:val="fr-CH"/>
        </w:rPr>
        <w:t xml:space="preserve"> seront considérés. </w:t>
      </w:r>
    </w:p>
    <w:p w:rsidR="00BE70E6" w:rsidRPr="00D73AFB" w:rsidRDefault="00BE70E6" w:rsidP="00BE70E6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Seuls</w:t>
      </w:r>
      <w:r w:rsidRPr="00D73AFB">
        <w:rPr>
          <w:rFonts w:ascii="Arial" w:hAnsi="Arial" w:cs="Arial"/>
          <w:sz w:val="22"/>
          <w:szCs w:val="22"/>
          <w:lang w:val="fr-CH"/>
        </w:rPr>
        <w:t xml:space="preserve"> les candidat</w:t>
      </w:r>
      <w:r>
        <w:rPr>
          <w:rFonts w:ascii="Arial" w:hAnsi="Arial" w:cs="Arial"/>
          <w:sz w:val="22"/>
          <w:szCs w:val="22"/>
          <w:lang w:val="fr-CH"/>
        </w:rPr>
        <w:t>(e)</w:t>
      </w:r>
      <w:r w:rsidRPr="00D73AFB">
        <w:rPr>
          <w:rFonts w:ascii="Arial" w:hAnsi="Arial" w:cs="Arial"/>
          <w:sz w:val="22"/>
          <w:szCs w:val="22"/>
          <w:lang w:val="fr-CH"/>
        </w:rPr>
        <w:t>s présélectionné(e)s pour un entretien seront contactés.</w:t>
      </w:r>
    </w:p>
    <w:p w:rsidR="00BE70E6" w:rsidRDefault="00BE70E6" w:rsidP="002D4EDC">
      <w:pPr>
        <w:rPr>
          <w:rFonts w:ascii="Arial" w:hAnsi="Arial" w:cs="Arial"/>
          <w:b/>
          <w:sz w:val="22"/>
          <w:szCs w:val="22"/>
          <w:lang w:val="fr-CH"/>
        </w:rPr>
      </w:pPr>
    </w:p>
    <w:sectPr w:rsidR="00BE70E6" w:rsidSect="0074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43EB8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1CFEB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85324F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E7F2C6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08086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6DC4889"/>
    <w:multiLevelType w:val="hybridMultilevel"/>
    <w:tmpl w:val="222EC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85413"/>
    <w:multiLevelType w:val="hybridMultilevel"/>
    <w:tmpl w:val="AE1CF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45C61"/>
    <w:multiLevelType w:val="hybridMultilevel"/>
    <w:tmpl w:val="73A27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59035E"/>
    <w:multiLevelType w:val="hybridMultilevel"/>
    <w:tmpl w:val="AB880968"/>
    <w:lvl w:ilvl="0" w:tplc="337696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62AB0"/>
    <w:multiLevelType w:val="hybridMultilevel"/>
    <w:tmpl w:val="B1AEF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D05"/>
    <w:multiLevelType w:val="hybridMultilevel"/>
    <w:tmpl w:val="5FCC6FCC"/>
    <w:lvl w:ilvl="0" w:tplc="D87814BE">
      <w:start w:val="1191"/>
      <w:numFmt w:val="bullet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162DA"/>
    <w:multiLevelType w:val="hybridMultilevel"/>
    <w:tmpl w:val="7CF2E0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EF7EB5"/>
    <w:multiLevelType w:val="hybridMultilevel"/>
    <w:tmpl w:val="56CC4A98"/>
    <w:lvl w:ilvl="0" w:tplc="374CB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D1AD6"/>
    <w:multiLevelType w:val="hybridMultilevel"/>
    <w:tmpl w:val="F20093C8"/>
    <w:lvl w:ilvl="0" w:tplc="97B8D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13"/>
  </w:num>
  <w:num w:numId="10">
    <w:abstractNumId w:val="10"/>
  </w:num>
  <w:num w:numId="11">
    <w:abstractNumId w:val="12"/>
  </w:num>
  <w:num w:numId="12">
    <w:abstractNumId w:val="5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174D73"/>
    <w:rsid w:val="00003251"/>
    <w:rsid w:val="0003369C"/>
    <w:rsid w:val="000A4CE6"/>
    <w:rsid w:val="000A7B10"/>
    <w:rsid w:val="000B1E51"/>
    <w:rsid w:val="000D6305"/>
    <w:rsid w:val="000E421B"/>
    <w:rsid w:val="00111073"/>
    <w:rsid w:val="001124C2"/>
    <w:rsid w:val="00124607"/>
    <w:rsid w:val="0012466A"/>
    <w:rsid w:val="0013128E"/>
    <w:rsid w:val="001628DD"/>
    <w:rsid w:val="00174D73"/>
    <w:rsid w:val="001761A3"/>
    <w:rsid w:val="0019068F"/>
    <w:rsid w:val="001B387C"/>
    <w:rsid w:val="001D21CC"/>
    <w:rsid w:val="001E1C6B"/>
    <w:rsid w:val="00242258"/>
    <w:rsid w:val="00264DED"/>
    <w:rsid w:val="002A26C6"/>
    <w:rsid w:val="002A3E5B"/>
    <w:rsid w:val="002B302C"/>
    <w:rsid w:val="002C3922"/>
    <w:rsid w:val="002D4EDC"/>
    <w:rsid w:val="002E7A3B"/>
    <w:rsid w:val="00341619"/>
    <w:rsid w:val="00393EFC"/>
    <w:rsid w:val="003A6AD2"/>
    <w:rsid w:val="003A772B"/>
    <w:rsid w:val="003B3242"/>
    <w:rsid w:val="003B52A7"/>
    <w:rsid w:val="003B762C"/>
    <w:rsid w:val="003F112D"/>
    <w:rsid w:val="003F6DE3"/>
    <w:rsid w:val="00424D5F"/>
    <w:rsid w:val="004468C6"/>
    <w:rsid w:val="00451C1B"/>
    <w:rsid w:val="004854FD"/>
    <w:rsid w:val="004927D6"/>
    <w:rsid w:val="004A3BB5"/>
    <w:rsid w:val="005040AF"/>
    <w:rsid w:val="005041A1"/>
    <w:rsid w:val="005127C2"/>
    <w:rsid w:val="00515651"/>
    <w:rsid w:val="00523A10"/>
    <w:rsid w:val="005747D2"/>
    <w:rsid w:val="005B1D79"/>
    <w:rsid w:val="005B5C8B"/>
    <w:rsid w:val="005B7E85"/>
    <w:rsid w:val="006036D3"/>
    <w:rsid w:val="00612646"/>
    <w:rsid w:val="006210E5"/>
    <w:rsid w:val="0062254F"/>
    <w:rsid w:val="00623DAD"/>
    <w:rsid w:val="006402CB"/>
    <w:rsid w:val="00653256"/>
    <w:rsid w:val="006D3815"/>
    <w:rsid w:val="006E6A89"/>
    <w:rsid w:val="006F16A1"/>
    <w:rsid w:val="006F1943"/>
    <w:rsid w:val="00703D8A"/>
    <w:rsid w:val="007431C6"/>
    <w:rsid w:val="0077312B"/>
    <w:rsid w:val="007B7EC6"/>
    <w:rsid w:val="007C29D0"/>
    <w:rsid w:val="00811732"/>
    <w:rsid w:val="00817E83"/>
    <w:rsid w:val="00834B52"/>
    <w:rsid w:val="008742D4"/>
    <w:rsid w:val="00882BC9"/>
    <w:rsid w:val="008B1C97"/>
    <w:rsid w:val="008F6CD0"/>
    <w:rsid w:val="00910E4C"/>
    <w:rsid w:val="00916C71"/>
    <w:rsid w:val="00956358"/>
    <w:rsid w:val="009959DD"/>
    <w:rsid w:val="009D3C3E"/>
    <w:rsid w:val="00A36145"/>
    <w:rsid w:val="00A43ECD"/>
    <w:rsid w:val="00A51DDC"/>
    <w:rsid w:val="00A564A9"/>
    <w:rsid w:val="00AA44D1"/>
    <w:rsid w:val="00AA7BC0"/>
    <w:rsid w:val="00AB788D"/>
    <w:rsid w:val="00B07E14"/>
    <w:rsid w:val="00B611D9"/>
    <w:rsid w:val="00B82FF0"/>
    <w:rsid w:val="00B94D00"/>
    <w:rsid w:val="00BD259E"/>
    <w:rsid w:val="00BE70E6"/>
    <w:rsid w:val="00BF6882"/>
    <w:rsid w:val="00C03884"/>
    <w:rsid w:val="00C161EA"/>
    <w:rsid w:val="00C3102F"/>
    <w:rsid w:val="00C81EC3"/>
    <w:rsid w:val="00C83B4E"/>
    <w:rsid w:val="00C940D6"/>
    <w:rsid w:val="00CA0668"/>
    <w:rsid w:val="00CA5D6C"/>
    <w:rsid w:val="00CD3437"/>
    <w:rsid w:val="00D22F8C"/>
    <w:rsid w:val="00D314A7"/>
    <w:rsid w:val="00D43938"/>
    <w:rsid w:val="00D66A38"/>
    <w:rsid w:val="00D73AFB"/>
    <w:rsid w:val="00D906D5"/>
    <w:rsid w:val="00D92E80"/>
    <w:rsid w:val="00DD16C6"/>
    <w:rsid w:val="00E61E60"/>
    <w:rsid w:val="00E77E3A"/>
    <w:rsid w:val="00EB7D42"/>
    <w:rsid w:val="00EF3202"/>
    <w:rsid w:val="00F04845"/>
    <w:rsid w:val="00F1356C"/>
    <w:rsid w:val="00F13F16"/>
    <w:rsid w:val="00F4664A"/>
    <w:rsid w:val="00F673D2"/>
    <w:rsid w:val="00F8775E"/>
    <w:rsid w:val="00F90BC6"/>
    <w:rsid w:val="00F973DA"/>
    <w:rsid w:val="00FE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31C6"/>
    <w:pPr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882"/>
    <w:pPr>
      <w:ind w:left="720"/>
    </w:pPr>
  </w:style>
  <w:style w:type="paragraph" w:styleId="ListBullet">
    <w:name w:val="List Bullet"/>
    <w:basedOn w:val="Normal"/>
    <w:autoRedefine/>
    <w:rsid w:val="007431C6"/>
    <w:pPr>
      <w:numPr>
        <w:numId w:val="1"/>
      </w:numPr>
      <w:ind w:left="357" w:hanging="357"/>
    </w:pPr>
  </w:style>
  <w:style w:type="paragraph" w:styleId="ListNumber">
    <w:name w:val="List Number"/>
    <w:basedOn w:val="Normal"/>
    <w:rsid w:val="007431C6"/>
    <w:pPr>
      <w:numPr>
        <w:numId w:val="4"/>
      </w:numPr>
      <w:ind w:left="0" w:firstLine="0"/>
    </w:pPr>
  </w:style>
  <w:style w:type="paragraph" w:styleId="ListNumber2">
    <w:name w:val="List Number 2"/>
    <w:basedOn w:val="Normal"/>
    <w:rsid w:val="007431C6"/>
    <w:pPr>
      <w:numPr>
        <w:numId w:val="5"/>
      </w:numPr>
      <w:ind w:left="641" w:hanging="357"/>
    </w:pPr>
  </w:style>
  <w:style w:type="character" w:styleId="Hyperlink">
    <w:name w:val="Hyperlink"/>
    <w:basedOn w:val="DefaultParagraphFont"/>
    <w:rsid w:val="006D38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F1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194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B1C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de.schalenbourg@redcross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roixrouge.ht/contacts-2/hnrcs-log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Pherson Clovis CHARLOT</cp:lastModifiedBy>
  <cp:revision>2</cp:revision>
  <cp:lastPrinted>2013-05-17T14:32:00Z</cp:lastPrinted>
  <dcterms:created xsi:type="dcterms:W3CDTF">2013-05-22T13:14:00Z</dcterms:created>
  <dcterms:modified xsi:type="dcterms:W3CDTF">2013-05-22T13:14:00Z</dcterms:modified>
</cp:coreProperties>
</file>