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183" w:rsidRPr="007046C8" w:rsidRDefault="005E0183" w:rsidP="005E0183">
      <w:pPr>
        <w:ind w:left="360" w:right="360" w:hanging="360"/>
        <w:jc w:val="right"/>
        <w:rPr>
          <w:rFonts w:eastAsia="Arial Unicode MS"/>
          <w:b/>
          <w:color w:val="244061" w:themeColor="accent1" w:themeShade="80"/>
          <w:sz w:val="28"/>
          <w:szCs w:val="28"/>
        </w:rPr>
      </w:pPr>
      <w:r w:rsidRPr="007046C8">
        <w:rPr>
          <w:rFonts w:eastAsia="Arial Unicode MS"/>
          <w:b/>
          <w:noProof/>
          <w:color w:val="244061" w:themeColor="accent1" w:themeShade="80"/>
          <w:sz w:val="28"/>
          <w:szCs w:val="28"/>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5"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7" cstate="print"/>
                    <a:srcRect/>
                    <a:stretch>
                      <a:fillRect/>
                    </a:stretch>
                  </pic:blipFill>
                  <pic:spPr bwMode="auto">
                    <a:xfrm>
                      <a:off x="0" y="0"/>
                      <a:ext cx="971550" cy="914400"/>
                    </a:xfrm>
                    <a:prstGeom prst="rect">
                      <a:avLst/>
                    </a:prstGeom>
                    <a:noFill/>
                  </pic:spPr>
                </pic:pic>
              </a:graphicData>
            </a:graphic>
          </wp:anchor>
        </w:drawing>
      </w:r>
    </w:p>
    <w:p w:rsidR="005E0183" w:rsidRPr="007046C8" w:rsidRDefault="005E0183" w:rsidP="005E0183">
      <w:pPr>
        <w:ind w:left="360" w:hanging="360"/>
        <w:jc w:val="center"/>
        <w:rPr>
          <w:rFonts w:eastAsia="Arial Unicode MS"/>
          <w:b/>
          <w:color w:val="244061" w:themeColor="accent1" w:themeShade="80"/>
          <w:sz w:val="28"/>
          <w:szCs w:val="28"/>
        </w:rPr>
      </w:pPr>
    </w:p>
    <w:p w:rsidR="005E0183" w:rsidRPr="007046C8" w:rsidRDefault="005E0183" w:rsidP="005E0183">
      <w:pPr>
        <w:ind w:left="360" w:hanging="360"/>
        <w:rPr>
          <w:rFonts w:eastAsia="Arial Unicode MS"/>
          <w:b/>
          <w:color w:val="244061" w:themeColor="accent1" w:themeShade="80"/>
          <w:sz w:val="28"/>
          <w:szCs w:val="28"/>
        </w:rPr>
      </w:pPr>
    </w:p>
    <w:p w:rsidR="005E0183" w:rsidRPr="007046C8" w:rsidRDefault="005E0183" w:rsidP="005E0183">
      <w:pPr>
        <w:ind w:left="360" w:hanging="360"/>
        <w:jc w:val="center"/>
        <w:rPr>
          <w:rFonts w:eastAsia="Arial Unicode MS"/>
          <w:b/>
          <w:i/>
          <w:color w:val="244061" w:themeColor="accent1" w:themeShade="80"/>
          <w:sz w:val="32"/>
          <w:szCs w:val="32"/>
        </w:rPr>
      </w:pPr>
      <w:r w:rsidRPr="007046C8">
        <w:rPr>
          <w:rFonts w:eastAsia="Arial Unicode MS"/>
          <w:b/>
          <w:i/>
          <w:color w:val="244061" w:themeColor="accent1" w:themeShade="80"/>
          <w:sz w:val="32"/>
          <w:szCs w:val="32"/>
        </w:rPr>
        <w:t>SOCIETE NATIONALE DE LA CROIX-ROUGE HAITIENNE</w:t>
      </w:r>
    </w:p>
    <w:p w:rsidR="005E0183" w:rsidRPr="007046C8" w:rsidRDefault="005E0183" w:rsidP="005E0183">
      <w:pPr>
        <w:spacing w:line="276" w:lineRule="auto"/>
        <w:ind w:left="360" w:hanging="360"/>
        <w:jc w:val="center"/>
        <w:rPr>
          <w:b/>
          <w:i/>
          <w:noProof/>
          <w:color w:val="244061" w:themeColor="accent1" w:themeShade="80"/>
          <w:u w:val="single"/>
        </w:rPr>
      </w:pPr>
      <w:r w:rsidRPr="007046C8">
        <w:rPr>
          <w:b/>
          <w:i/>
          <w:noProof/>
          <w:color w:val="244061" w:themeColor="accent1" w:themeShade="80"/>
          <w:u w:val="single"/>
        </w:rPr>
        <w:t>AVIS DE RECRUTEMENT</w:t>
      </w:r>
    </w:p>
    <w:p w:rsidR="005E0183" w:rsidRPr="007046C8" w:rsidRDefault="005E0183" w:rsidP="005E0183">
      <w:pPr>
        <w:spacing w:line="276" w:lineRule="auto"/>
        <w:ind w:left="360" w:hanging="360"/>
        <w:jc w:val="center"/>
        <w:rPr>
          <w:b/>
          <w:color w:val="244061" w:themeColor="accent1" w:themeShade="80"/>
        </w:rPr>
      </w:pPr>
      <w:r w:rsidRPr="007046C8">
        <w:rPr>
          <w:i/>
          <w:noProof/>
          <w:color w:val="244061" w:themeColor="accent1" w:themeShade="80"/>
        </w:rPr>
        <w:t>La Societé Nationale de la Croix Rouge Haitienne cherche pour le</w:t>
      </w:r>
      <w:r w:rsidRPr="007046C8">
        <w:rPr>
          <w:b/>
          <w:i/>
          <w:color w:val="244061" w:themeColor="accent1" w:themeShade="80"/>
        </w:rPr>
        <w:t xml:space="preserve"> </w:t>
      </w:r>
      <w:r w:rsidRPr="007046C8">
        <w:rPr>
          <w:i/>
          <w:color w:val="244061" w:themeColor="accent1" w:themeShade="80"/>
        </w:rPr>
        <w:t>Nord</w:t>
      </w:r>
      <w:r w:rsidRPr="007046C8">
        <w:rPr>
          <w:i/>
          <w:noProof/>
          <w:color w:val="244061" w:themeColor="accent1" w:themeShade="80"/>
        </w:rPr>
        <w:t>:</w:t>
      </w:r>
      <w:r w:rsidRPr="007046C8">
        <w:rPr>
          <w:b/>
          <w:color w:val="244061" w:themeColor="accent1" w:themeShade="80"/>
        </w:rPr>
        <w:t xml:space="preserve"> </w:t>
      </w:r>
    </w:p>
    <w:p w:rsidR="005E0183" w:rsidRPr="007046C8" w:rsidRDefault="005E0183" w:rsidP="005E0183">
      <w:pPr>
        <w:spacing w:line="276" w:lineRule="auto"/>
        <w:jc w:val="center"/>
        <w:rPr>
          <w:b/>
          <w:noProof/>
          <w:color w:val="244061" w:themeColor="accent1" w:themeShade="80"/>
          <w:sz w:val="32"/>
          <w:szCs w:val="32"/>
        </w:rPr>
      </w:pPr>
      <w:r w:rsidRPr="007046C8">
        <w:rPr>
          <w:b/>
          <w:color w:val="244061" w:themeColor="accent1" w:themeShade="80"/>
          <w:sz w:val="32"/>
          <w:szCs w:val="32"/>
        </w:rPr>
        <w:t>(1)</w:t>
      </w:r>
      <w:r w:rsidRPr="007046C8">
        <w:rPr>
          <w:b/>
          <w:color w:val="244061" w:themeColor="accent1" w:themeShade="80"/>
        </w:rPr>
        <w:t xml:space="preserve"> </w:t>
      </w:r>
      <w:r w:rsidRPr="007046C8">
        <w:rPr>
          <w:b/>
          <w:color w:val="244061" w:themeColor="accent1" w:themeShade="80"/>
          <w:sz w:val="32"/>
          <w:szCs w:val="32"/>
        </w:rPr>
        <w:t>Expert technique en eau et assainissement</w:t>
      </w:r>
    </w:p>
    <w:p w:rsidR="005E0183" w:rsidRPr="007046C8" w:rsidRDefault="005E0183" w:rsidP="005E0183">
      <w:pPr>
        <w:pStyle w:val="ListParagraph"/>
        <w:spacing w:line="276" w:lineRule="auto"/>
        <w:ind w:left="360"/>
        <w:rPr>
          <w:b/>
          <w:i/>
          <w:color w:val="244061" w:themeColor="accent1" w:themeShade="80"/>
          <w:sz w:val="32"/>
          <w:szCs w:val="32"/>
        </w:rPr>
      </w:pPr>
      <w:r w:rsidRPr="007046C8">
        <w:rPr>
          <w:b/>
          <w:i/>
          <w:color w:val="244061" w:themeColor="accent1" w:themeShade="80"/>
          <w:sz w:val="32"/>
          <w:szCs w:val="32"/>
        </w:rPr>
        <w:t>_______________________________________________________</w:t>
      </w:r>
    </w:p>
    <w:p w:rsidR="005E0183" w:rsidRPr="007046C8" w:rsidRDefault="005E0183" w:rsidP="00E7411B">
      <w:pPr>
        <w:ind w:firstLine="420"/>
        <w:jc w:val="both"/>
        <w:rPr>
          <w:color w:val="244061" w:themeColor="accent1" w:themeShade="80"/>
          <w:sz w:val="22"/>
          <w:szCs w:val="22"/>
        </w:rPr>
      </w:pPr>
      <w:r w:rsidRPr="007046C8">
        <w:rPr>
          <w:b/>
          <w:color w:val="244061" w:themeColor="accent1" w:themeShade="80"/>
        </w:rPr>
        <w:t>Objet</w:t>
      </w:r>
      <w:r w:rsidRPr="007046C8">
        <w:rPr>
          <w:color w:val="244061" w:themeColor="accent1" w:themeShade="80"/>
        </w:rPr>
        <w:t> </w:t>
      </w:r>
      <w:r w:rsidRPr="007046C8">
        <w:rPr>
          <w:color w:val="244061" w:themeColor="accent1" w:themeShade="80"/>
          <w:sz w:val="22"/>
          <w:szCs w:val="22"/>
        </w:rPr>
        <w:t>: Suite au séisme du 12 janvier 2010 en Haïti, la Croix Rouge Haïtienne (CRH) a revu à la hausse son aide au peuple haïtien dans ses efforts de récupération post-séisme. Le Programme d’Assistance (PA) a été créé pour orienter les réponses de l’organisation au tremblement de terre de 2010. Les activités mettent l’accent sur le relèvement  communautaire intégré et sur les interventions de préparation en Haïti en travaillant avec de partenaires du mouvement et externes.</w:t>
      </w:r>
    </w:p>
    <w:p w:rsidR="005E0183" w:rsidRPr="007046C8" w:rsidRDefault="005E0183" w:rsidP="00E7411B">
      <w:pPr>
        <w:spacing w:line="276" w:lineRule="auto"/>
        <w:jc w:val="both"/>
        <w:rPr>
          <w:b/>
          <w:color w:val="244061" w:themeColor="accent1" w:themeShade="80"/>
          <w:u w:val="single"/>
        </w:rPr>
      </w:pPr>
      <w:r w:rsidRPr="007046C8">
        <w:rPr>
          <w:color w:val="244061" w:themeColor="accent1" w:themeShade="80"/>
          <w:sz w:val="22"/>
          <w:szCs w:val="22"/>
        </w:rPr>
        <w:t xml:space="preserve">Le </w:t>
      </w:r>
      <w:r w:rsidRPr="007046C8">
        <w:rPr>
          <w:i/>
          <w:color w:val="244061" w:themeColor="accent1" w:themeShade="80"/>
          <w:sz w:val="22"/>
          <w:szCs w:val="22"/>
        </w:rPr>
        <w:t>Programme</w:t>
      </w:r>
      <w:r w:rsidRPr="007046C8">
        <w:rPr>
          <w:color w:val="244061" w:themeColor="accent1" w:themeShade="80"/>
          <w:sz w:val="22"/>
          <w:szCs w:val="22"/>
        </w:rPr>
        <w:t xml:space="preserve"> </w:t>
      </w:r>
      <w:r w:rsidRPr="007046C8">
        <w:rPr>
          <w:i/>
          <w:color w:val="244061" w:themeColor="accent1" w:themeShade="80"/>
          <w:sz w:val="22"/>
          <w:szCs w:val="22"/>
        </w:rPr>
        <w:t>communautaire intégré basé dans le Nord (PCIBN</w:t>
      </w:r>
      <w:r w:rsidRPr="007046C8">
        <w:rPr>
          <w:color w:val="244061" w:themeColor="accent1" w:themeShade="80"/>
          <w:sz w:val="22"/>
          <w:szCs w:val="22"/>
        </w:rPr>
        <w:t>) a pour but d’augmenter la résilience des collectivités, de bâtir des communautés plus solides et de réduire l’exposition aux chocs externes particulièrement dans les communautés rurales ciblées, au moyen d’une approche programmatique intégrée qui renforce l’impact mutuel du travail multisectoriel au niveau de la réduction des risques de désastre, la santé, l’eau et l’assainissement et les moyens de subsistance</w:t>
      </w:r>
    </w:p>
    <w:p w:rsidR="005E0183" w:rsidRPr="007046C8" w:rsidRDefault="005E0183" w:rsidP="005E0183">
      <w:pPr>
        <w:spacing w:line="276" w:lineRule="auto"/>
        <w:jc w:val="both"/>
        <w:rPr>
          <w:b/>
          <w:color w:val="244061" w:themeColor="accent1" w:themeShade="80"/>
          <w:u w:val="single"/>
        </w:rPr>
      </w:pPr>
      <w:r w:rsidRPr="007046C8">
        <w:rPr>
          <w:b/>
          <w:color w:val="244061" w:themeColor="accent1" w:themeShade="80"/>
          <w:u w:val="single"/>
        </w:rPr>
        <w:t>Tâches et Responsabilités Spécifiques</w:t>
      </w:r>
    </w:p>
    <w:p w:rsidR="005E0183" w:rsidRPr="007046C8" w:rsidRDefault="005E0183" w:rsidP="00B9728A">
      <w:pPr>
        <w:jc w:val="both"/>
        <w:rPr>
          <w:color w:val="244061" w:themeColor="accent1" w:themeShade="80"/>
        </w:rPr>
      </w:pPr>
      <w:r w:rsidRPr="007046C8">
        <w:rPr>
          <w:color w:val="244061" w:themeColor="accent1" w:themeShade="80"/>
        </w:rPr>
        <w:t>Les obligations et responsabilités de l’expert technique en eau et assainissement comprennent mais ne se limitent pas à :</w:t>
      </w:r>
    </w:p>
    <w:p w:rsidR="005E0183" w:rsidRPr="007046C8" w:rsidRDefault="005E0183" w:rsidP="00B9728A">
      <w:pPr>
        <w:pStyle w:val="ListParagraph"/>
        <w:numPr>
          <w:ilvl w:val="0"/>
          <w:numId w:val="3"/>
        </w:numPr>
        <w:jc w:val="both"/>
        <w:rPr>
          <w:color w:val="244061" w:themeColor="accent1" w:themeShade="80"/>
        </w:rPr>
      </w:pPr>
      <w:r w:rsidRPr="007046C8">
        <w:rPr>
          <w:color w:val="244061" w:themeColor="accent1" w:themeShade="80"/>
        </w:rPr>
        <w:t>Conduire des évaluations dans la zone afin d’informer et d’aider à la préparation des termes de référence des différentes activités du Pilier 3 (Développement capacités communautaires et de l’environnement physique) dans le secteur eau et assainissement.</w:t>
      </w:r>
    </w:p>
    <w:p w:rsidR="005E0183" w:rsidRPr="007046C8" w:rsidRDefault="005E0183" w:rsidP="00B9728A">
      <w:pPr>
        <w:pStyle w:val="ListParagraph"/>
        <w:numPr>
          <w:ilvl w:val="0"/>
          <w:numId w:val="3"/>
        </w:numPr>
        <w:jc w:val="both"/>
        <w:rPr>
          <w:color w:val="244061" w:themeColor="accent1" w:themeShade="80"/>
        </w:rPr>
      </w:pPr>
      <w:r w:rsidRPr="007046C8">
        <w:rPr>
          <w:color w:val="244061" w:themeColor="accent1" w:themeShade="80"/>
        </w:rPr>
        <w:t xml:space="preserve">Superviser le niveau terrain et suivre le travail réalisé ou en cours des partenaires responsable du développement de la capacité communautaire  et du Pilier de l’environnement physique (les activités liées a l’eau et a l’assainissement) telles que la construction ou la réhabilitation des sources d’eau, le coût bas approprié de l’assainissement, le traitement des maisons et la réhabilitation des ravins. </w:t>
      </w:r>
    </w:p>
    <w:p w:rsidR="005E0183" w:rsidRPr="007046C8" w:rsidRDefault="005E0183" w:rsidP="00B9728A">
      <w:pPr>
        <w:pStyle w:val="ListParagraph"/>
        <w:numPr>
          <w:ilvl w:val="0"/>
          <w:numId w:val="3"/>
        </w:numPr>
        <w:jc w:val="both"/>
        <w:rPr>
          <w:color w:val="244061" w:themeColor="accent1" w:themeShade="80"/>
        </w:rPr>
      </w:pPr>
      <w:r w:rsidRPr="007046C8">
        <w:rPr>
          <w:color w:val="244061" w:themeColor="accent1" w:themeShade="80"/>
        </w:rPr>
        <w:t>Revoir et commenter les propositions révisées, les dessins, la quantité et les couts en cours pour les activités des partenaires concernant l’eau et l’assainissement</w:t>
      </w:r>
    </w:p>
    <w:p w:rsidR="005E0183" w:rsidRPr="007046C8" w:rsidRDefault="005E0183" w:rsidP="00B9728A">
      <w:pPr>
        <w:pStyle w:val="ListParagraph"/>
        <w:numPr>
          <w:ilvl w:val="0"/>
          <w:numId w:val="3"/>
        </w:numPr>
        <w:jc w:val="both"/>
        <w:rPr>
          <w:color w:val="244061" w:themeColor="accent1" w:themeShade="80"/>
        </w:rPr>
      </w:pPr>
      <w:r w:rsidRPr="007046C8">
        <w:rPr>
          <w:color w:val="244061" w:themeColor="accent1" w:themeShade="80"/>
        </w:rPr>
        <w:t>Interagir étroitement avec le Ministère de la Santé en particulier avec le coordonnateur de la promotion de l’hygiène afin d’établir un équilibre cohérent entre les activités de software et d’hardware liées à l’eau et à l’assainissement.</w:t>
      </w:r>
    </w:p>
    <w:p w:rsidR="005E0183" w:rsidRPr="007046C8" w:rsidRDefault="005E0183" w:rsidP="00B9728A">
      <w:pPr>
        <w:pStyle w:val="ListParagraph"/>
        <w:numPr>
          <w:ilvl w:val="0"/>
          <w:numId w:val="3"/>
        </w:numPr>
        <w:jc w:val="both"/>
        <w:rPr>
          <w:color w:val="244061" w:themeColor="accent1" w:themeShade="80"/>
        </w:rPr>
      </w:pPr>
      <w:r w:rsidRPr="007046C8">
        <w:rPr>
          <w:color w:val="244061" w:themeColor="accent1" w:themeShade="80"/>
        </w:rPr>
        <w:t>Faire la promotion de l’utilisation des solutions d’assainissement à bas prix dans le programme intégré pour résoudre les problèmes d’assainissement au niveau ménager.</w:t>
      </w:r>
    </w:p>
    <w:p w:rsidR="005E0183" w:rsidRPr="007046C8" w:rsidRDefault="005E0183" w:rsidP="00B9728A">
      <w:pPr>
        <w:pStyle w:val="ListParagraph"/>
        <w:numPr>
          <w:ilvl w:val="0"/>
          <w:numId w:val="3"/>
        </w:numPr>
        <w:jc w:val="both"/>
        <w:rPr>
          <w:color w:val="244061" w:themeColor="accent1" w:themeShade="80"/>
        </w:rPr>
      </w:pPr>
      <w:r w:rsidRPr="007046C8">
        <w:rPr>
          <w:color w:val="244061" w:themeColor="accent1" w:themeShade="80"/>
        </w:rPr>
        <w:t>Fournir un support et un renforcement technique incluant la supervision, la formation et le suivi dans la planification, la gestion et l’implémentation des programmes d’eau et d’assainissement.</w:t>
      </w:r>
    </w:p>
    <w:p w:rsidR="005E0183" w:rsidRPr="007046C8" w:rsidRDefault="005E0183" w:rsidP="00B9728A">
      <w:pPr>
        <w:pStyle w:val="ListParagraph"/>
        <w:numPr>
          <w:ilvl w:val="0"/>
          <w:numId w:val="3"/>
        </w:numPr>
        <w:jc w:val="both"/>
        <w:rPr>
          <w:color w:val="244061" w:themeColor="accent1" w:themeShade="80"/>
        </w:rPr>
      </w:pPr>
      <w:r w:rsidRPr="007046C8">
        <w:rPr>
          <w:color w:val="244061" w:themeColor="accent1" w:themeShade="80"/>
        </w:rPr>
        <w:t>Travailler en étroite collaboration avec les partenaires afin d’identifier et résoudre les écarts dans les activités liées à l’eau  et à l’assainissement.</w:t>
      </w:r>
    </w:p>
    <w:p w:rsidR="005E0183" w:rsidRPr="007046C8" w:rsidRDefault="005E0183" w:rsidP="00B9728A">
      <w:pPr>
        <w:pStyle w:val="ListParagraph"/>
        <w:numPr>
          <w:ilvl w:val="0"/>
          <w:numId w:val="3"/>
        </w:numPr>
        <w:jc w:val="both"/>
        <w:rPr>
          <w:color w:val="244061" w:themeColor="accent1" w:themeShade="80"/>
        </w:rPr>
      </w:pPr>
      <w:r w:rsidRPr="007046C8">
        <w:rPr>
          <w:color w:val="244061" w:themeColor="accent1" w:themeShade="80"/>
        </w:rPr>
        <w:t>Exécuter des tâches de gestion et d’administration et de coordination avec les autres employés du projet  ainsi qu’avec le personnel des autres organisations.</w:t>
      </w:r>
    </w:p>
    <w:p w:rsidR="005E0183" w:rsidRPr="007046C8" w:rsidRDefault="005E0183" w:rsidP="00B9728A">
      <w:pPr>
        <w:pStyle w:val="ListParagraph"/>
        <w:numPr>
          <w:ilvl w:val="0"/>
          <w:numId w:val="3"/>
        </w:numPr>
        <w:jc w:val="both"/>
        <w:rPr>
          <w:color w:val="244061" w:themeColor="accent1" w:themeShade="80"/>
        </w:rPr>
      </w:pPr>
      <w:r w:rsidRPr="007046C8">
        <w:rPr>
          <w:color w:val="244061" w:themeColor="accent1" w:themeShade="80"/>
        </w:rPr>
        <w:t>Planifier et programmer des visites de terrain  en collaboration avec les partenaires.</w:t>
      </w:r>
    </w:p>
    <w:p w:rsidR="005E0183" w:rsidRPr="007046C8" w:rsidRDefault="005E0183" w:rsidP="00B9728A">
      <w:pPr>
        <w:pStyle w:val="ListParagraph"/>
        <w:numPr>
          <w:ilvl w:val="0"/>
          <w:numId w:val="3"/>
        </w:numPr>
        <w:jc w:val="both"/>
        <w:rPr>
          <w:color w:val="244061" w:themeColor="accent1" w:themeShade="80"/>
        </w:rPr>
      </w:pPr>
      <w:r w:rsidRPr="007046C8">
        <w:rPr>
          <w:color w:val="244061" w:themeColor="accent1" w:themeShade="80"/>
        </w:rPr>
        <w:t>Avoir de bonnes compétences en planification et en résolution de conflits.</w:t>
      </w:r>
    </w:p>
    <w:p w:rsidR="005E0183" w:rsidRPr="007046C8" w:rsidRDefault="005E0183" w:rsidP="00B9728A">
      <w:pPr>
        <w:spacing w:line="276" w:lineRule="auto"/>
        <w:jc w:val="both"/>
        <w:rPr>
          <w:color w:val="244061" w:themeColor="accent1" w:themeShade="80"/>
        </w:rPr>
      </w:pPr>
      <w:r w:rsidRPr="007046C8">
        <w:rPr>
          <w:color w:val="244061" w:themeColor="accent1" w:themeShade="80"/>
        </w:rPr>
        <w:t>Avoir la capacité d’utiliser et de suivre les lignes directives et procédures de SPHERE.</w:t>
      </w:r>
    </w:p>
    <w:p w:rsidR="005E0183" w:rsidRPr="007046C8" w:rsidRDefault="005E0183" w:rsidP="00B9728A">
      <w:pPr>
        <w:spacing w:line="276" w:lineRule="auto"/>
        <w:jc w:val="both"/>
        <w:rPr>
          <w:b/>
          <w:color w:val="244061" w:themeColor="accent1" w:themeShade="80"/>
          <w:u w:val="single"/>
        </w:rPr>
      </w:pPr>
    </w:p>
    <w:tbl>
      <w:tblPr>
        <w:tblW w:w="10274"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9540"/>
        <w:gridCol w:w="734"/>
      </w:tblGrid>
      <w:tr w:rsidR="005E0183" w:rsidRPr="007046C8" w:rsidTr="00C93529">
        <w:trPr>
          <w:trHeight w:val="464"/>
        </w:trPr>
        <w:tc>
          <w:tcPr>
            <w:tcW w:w="10274" w:type="dxa"/>
            <w:gridSpan w:val="2"/>
            <w:tcBorders>
              <w:top w:val="nil"/>
              <w:left w:val="nil"/>
              <w:bottom w:val="nil"/>
              <w:right w:val="nil"/>
            </w:tcBorders>
          </w:tcPr>
          <w:p w:rsidR="005E0183" w:rsidRPr="007046C8" w:rsidRDefault="005E0183" w:rsidP="00C93529">
            <w:pPr>
              <w:pStyle w:val="TableText"/>
              <w:tabs>
                <w:tab w:val="left" w:pos="10444"/>
              </w:tabs>
              <w:ind w:left="587" w:hanging="587"/>
              <w:rPr>
                <w:b/>
                <w:color w:val="244061" w:themeColor="accent1" w:themeShade="80"/>
                <w:u w:val="single"/>
              </w:rPr>
            </w:pPr>
          </w:p>
          <w:tbl>
            <w:tblPr>
              <w:tblW w:w="1007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10074"/>
            </w:tblGrid>
            <w:tr w:rsidR="005E0183" w:rsidRPr="007046C8" w:rsidTr="00C93529">
              <w:trPr>
                <w:trHeight w:val="464"/>
              </w:trPr>
              <w:tc>
                <w:tcPr>
                  <w:tcW w:w="10074" w:type="dxa"/>
                  <w:tcBorders>
                    <w:top w:val="nil"/>
                    <w:left w:val="nil"/>
                    <w:bottom w:val="nil"/>
                    <w:right w:val="nil"/>
                  </w:tcBorders>
                </w:tcPr>
                <w:p w:rsidR="005E0183" w:rsidRPr="007046C8" w:rsidRDefault="005E0183" w:rsidP="00C93529">
                  <w:pPr>
                    <w:pStyle w:val="TableText"/>
                    <w:tabs>
                      <w:tab w:val="left" w:pos="10444"/>
                    </w:tabs>
                    <w:ind w:left="587" w:hanging="587"/>
                    <w:jc w:val="both"/>
                    <w:rPr>
                      <w:b/>
                      <w:color w:val="244061" w:themeColor="accent1" w:themeShade="80"/>
                    </w:rPr>
                  </w:pPr>
                  <w:r w:rsidRPr="007046C8">
                    <w:rPr>
                      <w:b/>
                      <w:color w:val="244061" w:themeColor="accent1" w:themeShade="80"/>
                    </w:rPr>
                    <w:t xml:space="preserve">  </w:t>
                  </w:r>
                  <w:r w:rsidRPr="007046C8">
                    <w:rPr>
                      <w:b/>
                      <w:color w:val="244061" w:themeColor="accent1" w:themeShade="80"/>
                      <w:u w:val="single"/>
                    </w:rPr>
                    <w:t xml:space="preserve"> Qualifications et aptitudes requises</w:t>
                  </w:r>
                  <w:r w:rsidRPr="007046C8">
                    <w:rPr>
                      <w:b/>
                      <w:color w:val="244061" w:themeColor="accent1" w:themeShade="80"/>
                    </w:rPr>
                    <w:t xml:space="preserve"> </w:t>
                  </w:r>
                </w:p>
                <w:p w:rsidR="005E0183" w:rsidRPr="007046C8" w:rsidRDefault="005E0183" w:rsidP="00C93529">
                  <w:pPr>
                    <w:pStyle w:val="TableText"/>
                    <w:tabs>
                      <w:tab w:val="left" w:pos="10444"/>
                    </w:tabs>
                    <w:ind w:left="587" w:hanging="587"/>
                    <w:jc w:val="both"/>
                    <w:rPr>
                      <w:b/>
                      <w:color w:val="244061" w:themeColor="accent1" w:themeShade="80"/>
                    </w:rPr>
                  </w:pPr>
                </w:p>
                <w:p w:rsidR="001C3920" w:rsidRDefault="001C3920" w:rsidP="008C6CDA">
                  <w:pPr>
                    <w:pStyle w:val="TableText"/>
                    <w:numPr>
                      <w:ilvl w:val="0"/>
                      <w:numId w:val="5"/>
                    </w:numPr>
                    <w:tabs>
                      <w:tab w:val="left" w:pos="10444"/>
                    </w:tabs>
                    <w:jc w:val="both"/>
                    <w:rPr>
                      <w:color w:val="244061" w:themeColor="accent1" w:themeShade="80"/>
                    </w:rPr>
                  </w:pPr>
                  <w:r>
                    <w:rPr>
                      <w:color w:val="244061" w:themeColor="accent1" w:themeShade="80"/>
                    </w:rPr>
                    <w:t xml:space="preserve">Détenir un </w:t>
                  </w:r>
                  <w:r w:rsidRPr="007046C8">
                    <w:rPr>
                      <w:color w:val="244061" w:themeColor="accent1" w:themeShade="80"/>
                    </w:rPr>
                    <w:t xml:space="preserve">diplôme de génie civil </w:t>
                  </w:r>
                </w:p>
                <w:p w:rsidR="001C3920" w:rsidRDefault="005E0183" w:rsidP="008C6CDA">
                  <w:pPr>
                    <w:pStyle w:val="TableText"/>
                    <w:numPr>
                      <w:ilvl w:val="0"/>
                      <w:numId w:val="5"/>
                    </w:numPr>
                    <w:tabs>
                      <w:tab w:val="left" w:pos="10444"/>
                    </w:tabs>
                    <w:jc w:val="both"/>
                    <w:rPr>
                      <w:color w:val="244061" w:themeColor="accent1" w:themeShade="80"/>
                    </w:rPr>
                  </w:pPr>
                  <w:r w:rsidRPr="007046C8">
                    <w:rPr>
                      <w:color w:val="244061" w:themeColor="accent1" w:themeShade="80"/>
                    </w:rPr>
                    <w:t xml:space="preserve">3 à 4 ans d’expérience en eau et assainissement </w:t>
                  </w:r>
                </w:p>
                <w:p w:rsidR="005E0183" w:rsidRPr="001C3920" w:rsidRDefault="005E0183" w:rsidP="001C3920">
                  <w:pPr>
                    <w:pStyle w:val="TableText"/>
                    <w:numPr>
                      <w:ilvl w:val="0"/>
                      <w:numId w:val="5"/>
                    </w:numPr>
                    <w:tabs>
                      <w:tab w:val="left" w:pos="10444"/>
                    </w:tabs>
                    <w:jc w:val="both"/>
                    <w:rPr>
                      <w:color w:val="244061" w:themeColor="accent1" w:themeShade="80"/>
                    </w:rPr>
                  </w:pPr>
                  <w:r w:rsidRPr="007046C8">
                    <w:rPr>
                      <w:color w:val="244061" w:themeColor="accent1" w:themeShade="80"/>
                    </w:rPr>
                    <w:t xml:space="preserve"> </w:t>
                  </w:r>
                  <w:r w:rsidRPr="001C3920">
                    <w:rPr>
                      <w:color w:val="244061" w:themeColor="accent1" w:themeShade="80"/>
                    </w:rPr>
                    <w:t>Avoir une expérience avérée en supervision  et capable de contrôler les partenaires du secteur eau et assainissement</w:t>
                  </w:r>
                </w:p>
                <w:p w:rsidR="005E0183" w:rsidRPr="007046C8" w:rsidRDefault="005E0183" w:rsidP="008C6CDA">
                  <w:pPr>
                    <w:pStyle w:val="TableText"/>
                    <w:numPr>
                      <w:ilvl w:val="0"/>
                      <w:numId w:val="5"/>
                    </w:numPr>
                    <w:tabs>
                      <w:tab w:val="left" w:pos="10444"/>
                    </w:tabs>
                    <w:jc w:val="both"/>
                    <w:rPr>
                      <w:color w:val="244061" w:themeColor="accent1" w:themeShade="80"/>
                    </w:rPr>
                  </w:pPr>
                  <w:r w:rsidRPr="007046C8">
                    <w:rPr>
                      <w:color w:val="244061" w:themeColor="accent1" w:themeShade="80"/>
                    </w:rPr>
                    <w:t>Avoir  d’excellentes compétences en communication</w:t>
                  </w:r>
                </w:p>
                <w:p w:rsidR="00666D34" w:rsidRPr="007046C8" w:rsidRDefault="00666D34" w:rsidP="008C6CDA">
                  <w:pPr>
                    <w:pStyle w:val="TableText"/>
                    <w:numPr>
                      <w:ilvl w:val="0"/>
                      <w:numId w:val="5"/>
                    </w:numPr>
                    <w:tabs>
                      <w:tab w:val="left" w:pos="10444"/>
                    </w:tabs>
                    <w:jc w:val="both"/>
                    <w:rPr>
                      <w:color w:val="244061" w:themeColor="accent1" w:themeShade="80"/>
                    </w:rPr>
                  </w:pPr>
                  <w:r w:rsidRPr="007046C8">
                    <w:rPr>
                      <w:color w:val="244061" w:themeColor="accent1" w:themeShade="80"/>
                    </w:rPr>
                    <w:t>Flexible et capable de s’adapter aux variations des conditions de travail</w:t>
                  </w:r>
                </w:p>
                <w:p w:rsidR="00666D34" w:rsidRPr="007046C8" w:rsidRDefault="00F33859" w:rsidP="008C6CDA">
                  <w:pPr>
                    <w:pStyle w:val="TableText"/>
                    <w:numPr>
                      <w:ilvl w:val="0"/>
                      <w:numId w:val="5"/>
                    </w:numPr>
                    <w:tabs>
                      <w:tab w:val="left" w:pos="10444"/>
                    </w:tabs>
                    <w:jc w:val="both"/>
                    <w:rPr>
                      <w:color w:val="244061" w:themeColor="accent1" w:themeShade="80"/>
                    </w:rPr>
                  </w:pPr>
                  <w:r w:rsidRPr="007046C8">
                    <w:rPr>
                      <w:color w:val="244061" w:themeColor="accent1" w:themeShade="80"/>
                    </w:rPr>
                    <w:t>Désireux et capable de voyager toutes les fois que cela s’avère nécessaire</w:t>
                  </w:r>
                </w:p>
                <w:p w:rsidR="00422A06" w:rsidRPr="007046C8" w:rsidRDefault="00422A06" w:rsidP="008C6CDA">
                  <w:pPr>
                    <w:pStyle w:val="TableText"/>
                    <w:numPr>
                      <w:ilvl w:val="0"/>
                      <w:numId w:val="5"/>
                    </w:numPr>
                    <w:tabs>
                      <w:tab w:val="left" w:pos="10444"/>
                    </w:tabs>
                    <w:jc w:val="both"/>
                    <w:rPr>
                      <w:color w:val="244061" w:themeColor="accent1" w:themeShade="80"/>
                    </w:rPr>
                  </w:pPr>
                  <w:r w:rsidRPr="007046C8">
                    <w:rPr>
                      <w:color w:val="244061" w:themeColor="accent1" w:themeShade="80"/>
                    </w:rPr>
                    <w:t>Expérience dans des programmes  d’aide humanitaire et  de réponses aux urgences</w:t>
                  </w:r>
                </w:p>
                <w:p w:rsidR="001E13C3" w:rsidRPr="007046C8" w:rsidRDefault="001E13C3" w:rsidP="008C6CDA">
                  <w:pPr>
                    <w:pStyle w:val="TableText"/>
                    <w:numPr>
                      <w:ilvl w:val="0"/>
                      <w:numId w:val="5"/>
                    </w:numPr>
                    <w:tabs>
                      <w:tab w:val="left" w:pos="10444"/>
                    </w:tabs>
                    <w:jc w:val="both"/>
                    <w:rPr>
                      <w:color w:val="244061" w:themeColor="accent1" w:themeShade="80"/>
                    </w:rPr>
                  </w:pPr>
                  <w:r w:rsidRPr="007046C8">
                    <w:rPr>
                      <w:color w:val="244061" w:themeColor="accent1" w:themeShade="80"/>
                    </w:rPr>
                    <w:t>Des capacités en leadership, en travail d’équipe et en établissement de relations</w:t>
                  </w:r>
                </w:p>
                <w:p w:rsidR="008C6CDA" w:rsidRPr="007046C8" w:rsidRDefault="008C6CDA" w:rsidP="008C6CDA">
                  <w:pPr>
                    <w:pStyle w:val="TableText"/>
                    <w:numPr>
                      <w:ilvl w:val="0"/>
                      <w:numId w:val="5"/>
                    </w:numPr>
                    <w:tabs>
                      <w:tab w:val="left" w:pos="10444"/>
                    </w:tabs>
                    <w:jc w:val="both"/>
                    <w:rPr>
                      <w:b/>
                      <w:color w:val="244061" w:themeColor="accent1" w:themeShade="80"/>
                    </w:rPr>
                  </w:pPr>
                  <w:r w:rsidRPr="007046C8">
                    <w:rPr>
                      <w:color w:val="244061" w:themeColor="accent1" w:themeShade="80"/>
                    </w:rPr>
                    <w:t>Avoir des compétences avérées dans les applications de MS Office et en AutoCad</w:t>
                  </w:r>
                </w:p>
                <w:p w:rsidR="005E0183" w:rsidRPr="007046C8" w:rsidRDefault="005E0183" w:rsidP="008C6CDA">
                  <w:pPr>
                    <w:pStyle w:val="TableText"/>
                    <w:numPr>
                      <w:ilvl w:val="0"/>
                      <w:numId w:val="5"/>
                    </w:numPr>
                    <w:tabs>
                      <w:tab w:val="left" w:pos="10444"/>
                    </w:tabs>
                    <w:jc w:val="both"/>
                    <w:rPr>
                      <w:color w:val="244061" w:themeColor="accent1" w:themeShade="80"/>
                    </w:rPr>
                  </w:pPr>
                  <w:r w:rsidRPr="007046C8">
                    <w:rPr>
                      <w:color w:val="244061" w:themeColor="accent1" w:themeShade="80"/>
                      <w:lang w:val="fr-CA"/>
                    </w:rPr>
                    <w:t>Être capable de déterminer les priorités et de respecter les délais.</w:t>
                  </w:r>
                </w:p>
                <w:p w:rsidR="005E0183" w:rsidRPr="007046C8" w:rsidRDefault="005E0183" w:rsidP="008C6CDA">
                  <w:pPr>
                    <w:pStyle w:val="TableText"/>
                    <w:numPr>
                      <w:ilvl w:val="0"/>
                      <w:numId w:val="5"/>
                    </w:numPr>
                    <w:tabs>
                      <w:tab w:val="left" w:pos="10444"/>
                    </w:tabs>
                    <w:jc w:val="both"/>
                    <w:rPr>
                      <w:color w:val="244061" w:themeColor="accent1" w:themeShade="80"/>
                    </w:rPr>
                  </w:pPr>
                  <w:r w:rsidRPr="007046C8">
                    <w:rPr>
                      <w:color w:val="244061" w:themeColor="accent1" w:themeShade="80"/>
                    </w:rPr>
                    <w:t>Avoir une bonne connaissance des outils de l’informatique</w:t>
                  </w:r>
                </w:p>
                <w:p w:rsidR="005E0183" w:rsidRPr="007046C8" w:rsidRDefault="005E0183" w:rsidP="008C6CDA">
                  <w:pPr>
                    <w:pStyle w:val="TableText"/>
                    <w:numPr>
                      <w:ilvl w:val="0"/>
                      <w:numId w:val="5"/>
                    </w:numPr>
                    <w:tabs>
                      <w:tab w:val="left" w:pos="10444"/>
                    </w:tabs>
                    <w:jc w:val="both"/>
                    <w:rPr>
                      <w:color w:val="244061" w:themeColor="accent1" w:themeShade="80"/>
                    </w:rPr>
                  </w:pPr>
                  <w:r w:rsidRPr="007046C8">
                    <w:rPr>
                      <w:color w:val="244061" w:themeColor="accent1" w:themeShade="80"/>
                    </w:rPr>
                    <w:t>Excellente compétences en communication écrite et verbale du Français du Créole, l’anglais est un plus.</w:t>
                  </w:r>
                </w:p>
                <w:p w:rsidR="005E0183" w:rsidRPr="007046C8" w:rsidRDefault="005E0183" w:rsidP="00C93529">
                  <w:pPr>
                    <w:pStyle w:val="TableText"/>
                    <w:tabs>
                      <w:tab w:val="left" w:pos="10444"/>
                    </w:tabs>
                    <w:ind w:left="587" w:hanging="587"/>
                    <w:jc w:val="both"/>
                    <w:rPr>
                      <w:color w:val="244061" w:themeColor="accent1" w:themeShade="80"/>
                    </w:rPr>
                  </w:pPr>
                </w:p>
                <w:p w:rsidR="005E0183" w:rsidRPr="007046C8" w:rsidRDefault="005E0183" w:rsidP="00C93529">
                  <w:pPr>
                    <w:pStyle w:val="TableText"/>
                    <w:tabs>
                      <w:tab w:val="left" w:pos="10444"/>
                    </w:tabs>
                    <w:ind w:left="587" w:hanging="587"/>
                    <w:jc w:val="both"/>
                    <w:rPr>
                      <w:b/>
                      <w:i/>
                      <w:color w:val="244061" w:themeColor="accent1" w:themeShade="80"/>
                    </w:rPr>
                  </w:pPr>
                </w:p>
                <w:p w:rsidR="005E0183" w:rsidRPr="007046C8" w:rsidRDefault="005E0183" w:rsidP="00C93529">
                  <w:pPr>
                    <w:pStyle w:val="TableText"/>
                    <w:ind w:left="360"/>
                    <w:jc w:val="both"/>
                    <w:rPr>
                      <w:color w:val="244061" w:themeColor="accent1" w:themeShade="80"/>
                    </w:rPr>
                  </w:pPr>
                  <w:r w:rsidRPr="007046C8">
                    <w:rPr>
                      <w:color w:val="244061" w:themeColor="accent1" w:themeShade="80"/>
                    </w:rPr>
                    <w:t xml:space="preserve">Les candidats intéressés sont priés d’envoyer leur Curriculum Vitae accompagné </w:t>
                  </w:r>
                  <w:r w:rsidRPr="007046C8">
                    <w:rPr>
                      <w:b/>
                      <w:color w:val="244061" w:themeColor="accent1" w:themeShade="80"/>
                      <w:u w:val="single"/>
                    </w:rPr>
                    <w:t>d’une lettre de motivation précisant le lieu d’affectation</w:t>
                  </w:r>
                  <w:r w:rsidRPr="007046C8">
                    <w:rPr>
                      <w:color w:val="244061" w:themeColor="accent1" w:themeShade="80"/>
                    </w:rPr>
                    <w:t>, les copies des diplômes de fin d’études, certificats et attestations,  copie de la carte d’identité fiscale ou la carte électorale, l’original du certificat de bonne vie et mœurs délivr</w:t>
                  </w:r>
                  <w:r w:rsidR="005F4477" w:rsidRPr="007046C8">
                    <w:rPr>
                      <w:color w:val="244061" w:themeColor="accent1" w:themeShade="80"/>
                    </w:rPr>
                    <w:t>é</w:t>
                  </w:r>
                  <w:r w:rsidR="003D2AD3">
                    <w:rPr>
                      <w:color w:val="244061" w:themeColor="accent1" w:themeShade="80"/>
                    </w:rPr>
                    <w:t xml:space="preserve"> par la DCPJ au plus tard le 3</w:t>
                  </w:r>
                  <w:r w:rsidR="005F4477" w:rsidRPr="007046C8">
                    <w:rPr>
                      <w:color w:val="244061" w:themeColor="accent1" w:themeShade="80"/>
                    </w:rPr>
                    <w:t xml:space="preserve"> Juillet 20</w:t>
                  </w:r>
                  <w:r w:rsidRPr="007046C8">
                    <w:rPr>
                      <w:color w:val="244061" w:themeColor="accent1" w:themeShade="80"/>
                    </w:rPr>
                    <w:t>13 à l’une des adresses suivantes :</w:t>
                  </w:r>
                </w:p>
                <w:p w:rsidR="005E0183" w:rsidRPr="007046C8" w:rsidRDefault="005E0183" w:rsidP="00C93529">
                  <w:pPr>
                    <w:pStyle w:val="TableText"/>
                    <w:ind w:left="360"/>
                    <w:rPr>
                      <w:b/>
                      <w:i/>
                      <w:color w:val="244061" w:themeColor="accent1" w:themeShade="80"/>
                    </w:rPr>
                  </w:pPr>
                </w:p>
                <w:p w:rsidR="005E0183" w:rsidRPr="007046C8" w:rsidRDefault="00436EF5" w:rsidP="00C93529">
                  <w:pPr>
                    <w:tabs>
                      <w:tab w:val="left" w:pos="9990"/>
                    </w:tabs>
                    <w:spacing w:line="276" w:lineRule="auto"/>
                    <w:ind w:left="360" w:right="180" w:hanging="360"/>
                    <w:jc w:val="both"/>
                    <w:rPr>
                      <w:noProof/>
                      <w:color w:val="244061" w:themeColor="accent1" w:themeShade="80"/>
                    </w:rPr>
                  </w:pPr>
                  <w:r w:rsidRPr="007046C8">
                    <w:rPr>
                      <w:b/>
                      <w:i/>
                      <w:color w:val="244061" w:themeColor="accent1" w:themeShade="80"/>
                    </w:rPr>
                    <w:t xml:space="preserve">     </w:t>
                  </w:r>
                  <w:r w:rsidR="005E0183" w:rsidRPr="007046C8">
                    <w:rPr>
                      <w:b/>
                      <w:i/>
                      <w:color w:val="244061" w:themeColor="accent1" w:themeShade="80"/>
                    </w:rPr>
                    <w:t>Att : Ressources Humaines /</w:t>
                  </w:r>
                  <w:r w:rsidR="005E0183" w:rsidRPr="007046C8">
                    <w:rPr>
                      <w:color w:val="244061" w:themeColor="accent1" w:themeShade="80"/>
                    </w:rPr>
                    <w:t xml:space="preserve"> </w:t>
                  </w:r>
                  <w:r w:rsidR="005E0183" w:rsidRPr="007046C8">
                    <w:rPr>
                      <w:b/>
                      <w:color w:val="244061" w:themeColor="accent1" w:themeShade="80"/>
                      <w:lang w:val="fr-CA"/>
                    </w:rPr>
                    <w:t>Poste Souhaité</w:t>
                  </w:r>
                  <w:r w:rsidRPr="007046C8">
                    <w:rPr>
                      <w:b/>
                      <w:color w:val="244061" w:themeColor="accent1" w:themeShade="80"/>
                      <w:lang w:val="fr-CA"/>
                    </w:rPr>
                    <w:t>, comme Objet</w:t>
                  </w:r>
                </w:p>
                <w:p w:rsidR="005E0183" w:rsidRPr="007046C8" w:rsidRDefault="005E0183" w:rsidP="00C93529">
                  <w:pPr>
                    <w:pStyle w:val="TableText"/>
                    <w:tabs>
                      <w:tab w:val="left" w:pos="9990"/>
                    </w:tabs>
                    <w:ind w:left="360" w:right="180" w:hanging="360"/>
                    <w:jc w:val="both"/>
                    <w:rPr>
                      <w:b/>
                      <w:i/>
                      <w:color w:val="244061" w:themeColor="accent1" w:themeShade="80"/>
                    </w:rPr>
                  </w:pPr>
                </w:p>
                <w:p w:rsidR="005E0183" w:rsidRPr="007046C8" w:rsidRDefault="005E0183" w:rsidP="00C93529">
                  <w:pPr>
                    <w:pStyle w:val="TableText"/>
                    <w:numPr>
                      <w:ilvl w:val="0"/>
                      <w:numId w:val="1"/>
                    </w:numPr>
                    <w:tabs>
                      <w:tab w:val="left" w:pos="9990"/>
                    </w:tabs>
                    <w:ind w:left="360" w:right="180"/>
                    <w:jc w:val="center"/>
                    <w:rPr>
                      <w:i/>
                      <w:color w:val="244061" w:themeColor="accent1" w:themeShade="80"/>
                    </w:rPr>
                  </w:pPr>
                  <w:r w:rsidRPr="007046C8">
                    <w:rPr>
                      <w:i/>
                      <w:color w:val="244061" w:themeColor="accent1" w:themeShade="80"/>
                    </w:rPr>
                    <w:t>Bureau Régional de la Croix Rouge Haïtienne 5, Rue 15 petite Guinée Cap Haïtien.</w:t>
                  </w:r>
                </w:p>
                <w:p w:rsidR="005E0183" w:rsidRPr="007046C8" w:rsidRDefault="005E0183" w:rsidP="00C93529">
                  <w:pPr>
                    <w:pStyle w:val="TableText"/>
                    <w:tabs>
                      <w:tab w:val="left" w:pos="9990"/>
                    </w:tabs>
                    <w:ind w:left="360" w:right="180" w:hanging="360"/>
                    <w:jc w:val="center"/>
                    <w:rPr>
                      <w:b/>
                      <w:i/>
                      <w:color w:val="244061" w:themeColor="accent1" w:themeShade="80"/>
                    </w:rPr>
                  </w:pPr>
                </w:p>
                <w:p w:rsidR="005E0183" w:rsidRPr="007046C8" w:rsidRDefault="005E0183" w:rsidP="00C93529">
                  <w:pPr>
                    <w:pStyle w:val="TableText"/>
                    <w:tabs>
                      <w:tab w:val="left" w:pos="9990"/>
                    </w:tabs>
                    <w:ind w:left="360" w:right="180" w:hanging="360"/>
                    <w:jc w:val="center"/>
                    <w:rPr>
                      <w:b/>
                      <w:i/>
                      <w:color w:val="244061" w:themeColor="accent1" w:themeShade="80"/>
                      <w:szCs w:val="24"/>
                    </w:rPr>
                  </w:pPr>
                  <w:r w:rsidRPr="007046C8">
                    <w:rPr>
                      <w:b/>
                      <w:i/>
                      <w:color w:val="244061" w:themeColor="accent1" w:themeShade="80"/>
                    </w:rPr>
                    <w:t xml:space="preserve">2) </w:t>
                  </w:r>
                  <w:r w:rsidRPr="007046C8">
                    <w:rPr>
                      <w:i/>
                      <w:color w:val="244061" w:themeColor="accent1" w:themeShade="80"/>
                    </w:rPr>
                    <w:t xml:space="preserve">Camp de base Croix-Rouge Haïtienne, Ave Mais </w:t>
                  </w:r>
                  <w:r w:rsidRPr="007046C8">
                    <w:rPr>
                      <w:i/>
                      <w:color w:val="244061" w:themeColor="accent1" w:themeShade="80"/>
                      <w:szCs w:val="24"/>
                    </w:rPr>
                    <w:t>Gâté</w:t>
                  </w:r>
                  <w:r w:rsidRPr="007046C8">
                    <w:rPr>
                      <w:bCs/>
                      <w:i/>
                      <w:color w:val="244061" w:themeColor="accent1" w:themeShade="80"/>
                      <w:szCs w:val="24"/>
                    </w:rPr>
                    <w:t xml:space="preserve"> Route de l’Aéroport</w:t>
                  </w:r>
                  <w:r w:rsidRPr="007046C8">
                    <w:rPr>
                      <w:bCs/>
                      <w:i/>
                      <w:color w:val="244061" w:themeColor="accent1" w:themeShade="80"/>
                      <w:szCs w:val="24"/>
                      <w:lang w:val="fr-HT"/>
                    </w:rPr>
                    <w:t>, Port-au-Prince, Haïti HT</w:t>
                  </w:r>
                </w:p>
                <w:p w:rsidR="005E0183" w:rsidRPr="007046C8" w:rsidRDefault="005E0183" w:rsidP="00C93529">
                  <w:pPr>
                    <w:pStyle w:val="TableText"/>
                    <w:tabs>
                      <w:tab w:val="left" w:pos="9990"/>
                    </w:tabs>
                    <w:ind w:left="360" w:right="180" w:hanging="360"/>
                    <w:jc w:val="center"/>
                    <w:rPr>
                      <w:i/>
                      <w:color w:val="244061" w:themeColor="accent1" w:themeShade="80"/>
                    </w:rPr>
                  </w:pPr>
                  <w:r w:rsidRPr="007046C8">
                    <w:rPr>
                      <w:i/>
                      <w:color w:val="244061" w:themeColor="accent1" w:themeShade="80"/>
                    </w:rPr>
                    <w:t>3) à l’adresse électronique suivante : ressources.humaines@croixrouge.ht</w:t>
                  </w:r>
                </w:p>
                <w:p w:rsidR="005E0183" w:rsidRPr="007046C8" w:rsidRDefault="005E0183" w:rsidP="00C93529">
                  <w:pPr>
                    <w:pStyle w:val="TableText"/>
                    <w:tabs>
                      <w:tab w:val="left" w:pos="9990"/>
                    </w:tabs>
                    <w:ind w:left="360" w:right="180" w:hanging="360"/>
                    <w:jc w:val="center"/>
                    <w:rPr>
                      <w:b/>
                      <w:color w:val="244061" w:themeColor="accent1" w:themeShade="80"/>
                    </w:rPr>
                  </w:pPr>
                </w:p>
                <w:p w:rsidR="005E0183" w:rsidRPr="007046C8" w:rsidRDefault="005E0183" w:rsidP="00C93529">
                  <w:pPr>
                    <w:pStyle w:val="TableText"/>
                    <w:tabs>
                      <w:tab w:val="left" w:pos="9990"/>
                    </w:tabs>
                    <w:ind w:left="360" w:right="180" w:hanging="360"/>
                    <w:jc w:val="center"/>
                    <w:rPr>
                      <w:b/>
                      <w:color w:val="244061" w:themeColor="accent1" w:themeShade="80"/>
                      <w:lang w:val="fr-CA"/>
                    </w:rPr>
                  </w:pPr>
                  <w:r w:rsidRPr="007046C8">
                    <w:rPr>
                      <w:b/>
                      <w:color w:val="244061" w:themeColor="accent1" w:themeShade="80"/>
                    </w:rPr>
                    <w:t xml:space="preserve">NB : Seuls les candidat(e)s sélectionné(e)s seront contactés. Priorité sera accordée aux Volontaires </w:t>
                  </w:r>
                  <w:r w:rsidRPr="007046C8">
                    <w:rPr>
                      <w:b/>
                      <w:color w:val="244061" w:themeColor="accent1" w:themeShade="80"/>
                      <w:lang w:val="fr-CA"/>
                    </w:rPr>
                    <w:t>de la Croix Rouge Haïtienne. Les candidatures féminines sont fortement encouragées.</w:t>
                  </w:r>
                </w:p>
                <w:p w:rsidR="005E0183" w:rsidRPr="007046C8" w:rsidRDefault="005E0183" w:rsidP="00C93529">
                  <w:pPr>
                    <w:pStyle w:val="TableText"/>
                    <w:tabs>
                      <w:tab w:val="left" w:pos="10444"/>
                    </w:tabs>
                    <w:ind w:left="587" w:hanging="587"/>
                    <w:jc w:val="both"/>
                    <w:rPr>
                      <w:iCs/>
                      <w:color w:val="244061" w:themeColor="accent1" w:themeShade="80"/>
                      <w:lang w:val="fr-CA"/>
                    </w:rPr>
                  </w:pPr>
                </w:p>
              </w:tc>
            </w:tr>
          </w:tbl>
          <w:p w:rsidR="005E0183" w:rsidRPr="007046C8" w:rsidRDefault="005E0183" w:rsidP="00C93529">
            <w:pPr>
              <w:pStyle w:val="TableText"/>
              <w:tabs>
                <w:tab w:val="left" w:pos="10444"/>
              </w:tabs>
              <w:rPr>
                <w:color w:val="244061" w:themeColor="accent1" w:themeShade="80"/>
              </w:rPr>
            </w:pPr>
          </w:p>
          <w:p w:rsidR="005E0183" w:rsidRPr="007046C8" w:rsidRDefault="005E0183" w:rsidP="00C93529">
            <w:pPr>
              <w:pStyle w:val="TableText"/>
              <w:tabs>
                <w:tab w:val="left" w:pos="10444"/>
              </w:tabs>
              <w:ind w:left="360"/>
              <w:jc w:val="both"/>
              <w:rPr>
                <w:iCs/>
                <w:color w:val="244061" w:themeColor="accent1" w:themeShade="80"/>
                <w:lang w:val="fr-CA"/>
              </w:rPr>
            </w:pPr>
          </w:p>
        </w:tc>
      </w:tr>
      <w:tr w:rsidR="005E0183" w:rsidRPr="007046C8" w:rsidTr="00C93529">
        <w:trPr>
          <w:gridAfter w:val="1"/>
          <w:wAfter w:w="734" w:type="dxa"/>
          <w:trHeight w:val="464"/>
        </w:trPr>
        <w:tc>
          <w:tcPr>
            <w:tcW w:w="9540" w:type="dxa"/>
            <w:tcBorders>
              <w:top w:val="nil"/>
              <w:left w:val="nil"/>
              <w:bottom w:val="nil"/>
              <w:right w:val="nil"/>
            </w:tcBorders>
          </w:tcPr>
          <w:p w:rsidR="005E0183" w:rsidRPr="007046C8" w:rsidRDefault="005E0183" w:rsidP="00C93529">
            <w:pPr>
              <w:rPr>
                <w:color w:val="244061" w:themeColor="accent1" w:themeShade="80"/>
              </w:rPr>
            </w:pPr>
          </w:p>
        </w:tc>
      </w:tr>
    </w:tbl>
    <w:p w:rsidR="005E0183" w:rsidRPr="007046C8" w:rsidRDefault="005E0183" w:rsidP="005E0183">
      <w:pPr>
        <w:spacing w:line="276" w:lineRule="auto"/>
        <w:jc w:val="both"/>
        <w:rPr>
          <w:color w:val="244061" w:themeColor="accent1" w:themeShade="80"/>
        </w:rPr>
      </w:pPr>
    </w:p>
    <w:p w:rsidR="005E0183" w:rsidRPr="007046C8" w:rsidRDefault="005E0183" w:rsidP="005E0183">
      <w:pPr>
        <w:rPr>
          <w:color w:val="244061" w:themeColor="accent1" w:themeShade="80"/>
        </w:rPr>
      </w:pPr>
    </w:p>
    <w:p w:rsidR="005E0183" w:rsidRPr="007046C8" w:rsidRDefault="005E0183" w:rsidP="005E0183">
      <w:pPr>
        <w:rPr>
          <w:color w:val="244061" w:themeColor="accent1" w:themeShade="80"/>
        </w:rPr>
      </w:pPr>
    </w:p>
    <w:p w:rsidR="005E0183" w:rsidRPr="007046C8" w:rsidRDefault="005E0183" w:rsidP="005E0183">
      <w:pPr>
        <w:rPr>
          <w:color w:val="244061" w:themeColor="accent1" w:themeShade="80"/>
        </w:rPr>
      </w:pPr>
    </w:p>
    <w:p w:rsidR="005E0183" w:rsidRPr="007046C8" w:rsidRDefault="005E0183" w:rsidP="005E0183">
      <w:pPr>
        <w:rPr>
          <w:color w:val="244061" w:themeColor="accent1" w:themeShade="80"/>
        </w:rPr>
      </w:pPr>
    </w:p>
    <w:p w:rsidR="005E0183" w:rsidRPr="007046C8" w:rsidRDefault="005E0183" w:rsidP="005E0183">
      <w:pPr>
        <w:rPr>
          <w:color w:val="244061" w:themeColor="accent1" w:themeShade="80"/>
        </w:rPr>
      </w:pPr>
    </w:p>
    <w:p w:rsidR="005E0183" w:rsidRPr="007046C8" w:rsidRDefault="005E0183" w:rsidP="005E0183">
      <w:pPr>
        <w:rPr>
          <w:color w:val="244061" w:themeColor="accent1" w:themeShade="80"/>
        </w:rPr>
      </w:pPr>
    </w:p>
    <w:p w:rsidR="005E0183" w:rsidRPr="007046C8" w:rsidRDefault="005E0183" w:rsidP="005E0183">
      <w:pPr>
        <w:rPr>
          <w:color w:val="244061" w:themeColor="accent1" w:themeShade="80"/>
        </w:rPr>
      </w:pPr>
    </w:p>
    <w:p w:rsidR="005E0183" w:rsidRPr="007046C8" w:rsidRDefault="005E0183" w:rsidP="005E0183">
      <w:pPr>
        <w:rPr>
          <w:color w:val="244061" w:themeColor="accent1" w:themeShade="80"/>
        </w:rPr>
      </w:pPr>
    </w:p>
    <w:p w:rsidR="00FB4E50" w:rsidRPr="007046C8" w:rsidRDefault="00FB4E50">
      <w:pPr>
        <w:rPr>
          <w:color w:val="244061" w:themeColor="accent1" w:themeShade="80"/>
        </w:rPr>
      </w:pPr>
    </w:p>
    <w:sectPr w:rsidR="00FB4E50" w:rsidRPr="007046C8" w:rsidSect="00DE33E4">
      <w:footerReference w:type="default" r:id="rId8"/>
      <w:pgSz w:w="12240" w:h="15840"/>
      <w:pgMar w:top="720" w:right="1800" w:bottom="18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252" w:rsidRDefault="00E21252" w:rsidP="004423AB">
      <w:r>
        <w:separator/>
      </w:r>
    </w:p>
  </w:endnote>
  <w:endnote w:type="continuationSeparator" w:id="0">
    <w:p w:rsidR="00E21252" w:rsidRDefault="00E21252" w:rsidP="004423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2F6" w:rsidRDefault="00A234ED">
    <w:pPr>
      <w:pStyle w:val="Footer"/>
    </w:pPr>
    <w:r w:rsidRPr="00A234ED">
      <w:rPr>
        <w:noProof/>
        <w:lang w:eastAsia="fr-FR"/>
      </w:rPr>
      <w:pict>
        <v:group id="Group 7" o:spid="_x0000_s1025" style="position:absolute;margin-left:18.4pt;margin-top:744pt;width:35.65pt;height:23.85pt;rotation:90;z-index:251657216;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amgMAAGkPAAAOAAAAZHJzL2Uyb0RvYy54bWzsV99v2zYQfh+w/4HguyNRkWRLiFI0SR0M&#10;yNYC3bBnWqIkbhKpkbSVdNj/3uMPJXFSYEM3FHuwHmiSRx7vvrv7TF68uR8HdGBKcykqTM5ijJio&#10;ZcNFV+Ffft6uNhhpQ0VDBylYhR+Yxm8uv//uYp5KlsheDg1TCJQIXc5ThXtjpjKKdN2zkeozOTEB&#10;wlaqkRoYqi5qFJ1B+zhESRzn0SxVMylZM61h9sYL8aXT37asNu/bVjODhgqDbca1yrU720aXF7Ts&#10;FJ16Xgcz6FdYMVIu4NBHVTfUULRX/JWqkddKatmas1qOkWxbXjPnA3hD4hfe3Cq5n5wvXTl30yNM&#10;AO0LnL5abf3T4YNCvKnwGiNBRwiROxWtLTTz1JWw4lZNH6cPyvsH3TtZ/65BHL2U23HnF6Pd/KNs&#10;QB3dG+mguW/ViJSEEGRpbD83CxCgexePh8d4sHuDaphMs2SdZRjVIDqPk02R+XjVPQTV7iJxQsBu&#10;EBcpCcGs+3dhO8ny3G/OCieMaGmNCIYHQ62XkHv6CV797+D92NOJuahpC16AF+rAw/sW8HBLUOIh&#10;dqsWfLUHFwl53VPRsbdKyblntAGjiF0PmD/bYAcaQvNltG3AAr6EkJi8QGqBOd8kX4aJlpPS5pbJ&#10;EdlOhaEqD0r6TKeHO21cSjTBM9r8hlE7DlBABzqgdZ7FuTOZlmExBGDRGIql2fJhsFnxKze9g8Vm&#10;gRPqRb9GkwT3/bRW3e56UAhOgATZbsjVTTij036bX02eUuxoS5Keb/MlG+wWsKlbjhq4QIB6hZO1&#10;3450TQcG1eGxd/XtTLZHDcK2QloXbGSWGcA1mG4RdizwZ0GSNL5KitU236xX6TbNVsU63qxiUlwV&#10;eZwW6c32L+s3ScueNw0Td1ywhZFI+s9SMnCj5xLHSWiG2siSzEGq5cAfrT9CZeu+AOTRspEbIOiB&#10;jxXeeEzAVVralHwnGtc3lA++Hx2b7zABDJZfh4pLYJuzvvB2snmA/HW8AAQNfyWQZ71UnzCagZYr&#10;rP/YU8UwGn4QkAQFSVPL426QZusEBuq5ZPdcQkUNqipsMITVdq+N5/79pHjXw0nEASOkrcqWm6XA&#10;vFVgd+CGb0QSxWuSOLdBOap5ChXvGPi/J4k4z8CEIzo9kcSJJALbnkjif0EScNF5dZVIvylLvL50&#10;nVjixBInlvDXwb+9SrhnE7zn3LUovD3tg/H52F09nl7Il58BAAD//wMAUEsDBBQABgAIAAAAIQC8&#10;T81I4AAAAAsBAAAPAAAAZHJzL2Rvd25yZXYueG1sTI9BTsMwEEX3SNzBGiQ2iDotaZqGOFUB5QAt&#10;ILp0YxNH2OM0dptwe4YVLOfP05835WZyll30EDqPAuazBJjGxqsOWwFvr/V9DixEiUpaj1rAtw6w&#10;qa6vSlkoP+JOX/axZVSCoZACTIx9wXlojHYyzHyvkXaffnAy0ji0XA1ypHJn+SJJMu5kh3TByF4/&#10;G9187c9OAJ7e8/pkP+7qQzPMt0/j2rwcohC3N9P2EVjUU/yD4Vef1KEip6M/owrMCkjzjEjK01W2&#10;AEbEOnsAdqRkma6WwKuS//+h+gEAAP//AwBQSwECLQAUAAYACAAAACEAtoM4kv4AAADhAQAAEwAA&#10;AAAAAAAAAAAAAAAAAAAAW0NvbnRlbnRfVHlwZXNdLnhtbFBLAQItABQABgAIAAAAIQA4/SH/1gAA&#10;AJQBAAALAAAAAAAAAAAAAAAAAC8BAABfcmVscy8ucmVsc1BLAQItABQABgAIAAAAIQAgZJJamgMA&#10;AGkPAAAOAAAAAAAAAAAAAAAAAC4CAABkcnMvZTJvRG9jLnhtbFBLAQItABQABgAIAAAAIQC8T81I&#10;4AAAAAsBAAAPAAAAAAAAAAAAAAAAAPQFAABkcnMvZG93bnJldi54bWxQSwUGAAAAAAQABADzAAAA&#10;A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6"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3" o:spid="_x0000_s1027"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v:shape id="AutoShape 4" o:spid="_x0000_s1028"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CMsIA&#10;AADbAAAADwAAAGRycy9kb3ducmV2LnhtbESPzarCQAyF94LvMES4O53q4nKtjiKioKALf8Bt6MS2&#10;2MmUzljr25uFcHcJ5+ScL/Nl5yrVUhNKzwbGowQUceZtybmB62U7/AMVIrLFyjMZeFOA5aLfm2Nq&#10;/YtP1J5jriSEQ4oGihjrVOuQFeQwjHxNLNrdNw6jrE2ubYMvCXeVniTJr3ZYsjQUWNO6oOxxfjoD&#10;m1u+0kl2b8P0Nl0f9idbvcPRmJ9Bt5qBitTFf/P3emcFX+jlFxlAL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oIywgAAANsAAAAPAAAAAAAAAAAAAAAAAJgCAABkcnMvZG93&#10;bnJldi54bWxQSwUGAAAAAAQABAD1AAAAhwMAAAAA&#10;" adj="7304" fillcolor="#4f81bd" stroked="f" strokecolor="white">
            <v:fill color2="#243f60" angle="45" focus="100%" type="gradient"/>
          </v:shape>
          <w10:wrap anchorx="page" anchory="page"/>
        </v:group>
      </w:pict>
    </w:r>
    <w:r w:rsidRPr="00A234ED">
      <w:rPr>
        <w:noProof/>
        <w:lang w:eastAsia="fr-FR"/>
      </w:rPr>
      <w:pict>
        <v:group id="Group 3" o:spid="_x0000_s1029" style="position:absolute;margin-left:18.4pt;margin-top:744pt;width:35.65pt;height:23.85pt;rotation:90;z-index:251658240;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SlAMAAGgPAAAOAAAAZHJzL2Uyb0RvYy54bWzsV01v3DYQvRfofyB4X0uUJe1KsBzEdtYo&#10;4LYB0qJnrkRJbClSJbkru0H+e4ek5I9NgAQpYPSwe5BJDjmceTPzPLx4cz8IdGDacCUrTM5ijJis&#10;VcNlV+Hff9uuNhgZS2VDhZKswg/M4DeXP/5wMY0lS1SvRMM0AiXSlNNY4d7asYwiU/dsoOZMjUyC&#10;sFV6oBamuosaTSfQPogoieM8mpRuRq1qZgys3gQhvvT625bV9te2NcwiUWGwzfqv9t+d+0aXF7Ts&#10;NB17Xs9m0O+wYqBcwqWPqm6opWiv+WeqBl5rZVRrz2o1RKptec28D+ANiY+8udVqP3pfunLqxkeY&#10;ANojnL5bbf3L4b1GvKnwOUaSDhAifys6d9BMY1fCjls9fhjf6+AfDO9U/ZcBcXQsd/MubEa76WfV&#10;gDq6t8pDc9/qAWkFIcjS2P38KkCA7n08Hh7jwe4tqmExzZJ1lmFUg+g8TjZFFuJV9xBUd4rECVlj&#10;BOIiJXMw6/7dfJxkeR4OZ4UXRrR0RsyGz4Y6LyH3zBO85r/B+6GnI/NRMw68Gd50gfct4OG3oDxA&#10;7Hct+JoALpLquqeyY2+1VlPPaANGEbcfMH92wE0MhObLaLuAzfgSQmJyhNQCc75JvgwTLUdt7C1T&#10;A3KDCkNVHrQKmU4Pd8b6lGjmxKHNnxi1g4ACOlCB1nkWexcB9nkzjBaNc7E0Wy6Ey4o/uO09LC4L&#10;vNAs+g0aFbgflo3udtdCI7gBEmS7IVc3HhYoPROOhd3kKcVeHEnS822+ZIM7AjZ1y1WCSwSoVzhZ&#10;h+PI1FQwqI6Ava9vb7K7Skj3lcq54CKzrACus+kOYc8CHwuSpPFVUqy2+Wa9SrdptirW8WYVk+Kq&#10;yOO0SG+2n5zfJC173jRM3nHJFkYi6bel5MyNgUs8J6EJaiNLMg+pUYI/Wv8Cla3/zUC+2DZwCwQt&#10;+FDhTcAEXKWlS8l3svFjS7kI4+il+R4TwGD561HxCexyNhTeTjUPkL+eF4Cg4V8J5Fmv9D8YTUDL&#10;FTZ/76lmGImfJCRBQdLU8bifpNk6gYl+Ltk9l1BZg6oKWwxhdcNrG7h/P2re9XAT8cBI5aqy5XYp&#10;sGAV2D1zwyuRBHBd4OAnkli/JknEeVacSALK/0QSQrgyP5HE/48koKc5JonNq5LE5z3XqZM4dRJz&#10;S3bqJL7WSfhXEzznfFc0Pz3de/H53HceTw/ky38BAAD//wMAUEsDBBQABgAIAAAAIQC8T81I4AAA&#10;AAsBAAAPAAAAZHJzL2Rvd25yZXYueG1sTI9BTsMwEEX3SNzBGiQ2iDotaZqGOFUB5QAtILp0YxNH&#10;2OM0dptwe4YVLOfP05835WZyll30EDqPAuazBJjGxqsOWwFvr/V9DixEiUpaj1rAtw6wqa6vSlko&#10;P+JOX/axZVSCoZACTIx9wXlojHYyzHyvkXaffnAy0ji0XA1ypHJn+SJJMu5kh3TByF4/G9187c9O&#10;AJ7e8/pkP+7qQzPMt0/j2rwcohC3N9P2EVjUU/yD4Vef1KEip6M/owrMCkjzjEjK01W2AEbEOnsA&#10;dqRkma6WwKuS//+h+gEAAP//AwBQSwECLQAUAAYACAAAACEAtoM4kv4AAADhAQAAEwAAAAAAAAAA&#10;AAAAAAAAAAAAW0NvbnRlbnRfVHlwZXNdLnhtbFBLAQItABQABgAIAAAAIQA4/SH/1gAAAJQBAAAL&#10;AAAAAAAAAAAAAAAAAC8BAABfcmVscy8ucmVsc1BLAQItABQABgAIAAAAIQDtW7sSlAMAAGgPAAAO&#10;AAAAAAAAAAAAAAAAAC4CAABkcnMvZTJvRG9jLnhtbFBLAQItABQABgAIAAAAIQC8T81I4AAAAAsB&#10;AAAPAAAAAAAAAAAAAAAAAO4FAABkcnMvZG93bnJldi54bWxQSwUGAAAAAAQABADzAAAA+wYAAAAA&#10;" o:allowincell="f">
          <v:shape id="AutoShape 6" o:spid="_x0000_s1030"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v:shape id="AutoShape 7" o:spid="_x0000_s1031"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ar8A&#10;AADaAAAADwAAAGRycy9kb3ducmV2LnhtbESPzQrCMBCE74LvEFbwpqmC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lhqvwAAANoAAAAPAAAAAAAAAAAAAAAAAJgCAABkcnMvZG93bnJl&#10;di54bWxQSwUGAAAAAAQABAD1AAAAhAMAAAAA&#10;" adj="7304" fillcolor="#4f81bd" stroked="f" strokecolor="white">
            <v:fill color2="#243f60" angle="45" focus="100%" type="gradient"/>
          </v:shape>
          <v:shape id="AutoShape 8" o:spid="_x0000_s1032"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252" w:rsidRDefault="00E21252" w:rsidP="004423AB">
      <w:r>
        <w:separator/>
      </w:r>
    </w:p>
  </w:footnote>
  <w:footnote w:type="continuationSeparator" w:id="0">
    <w:p w:rsidR="00E21252" w:rsidRDefault="00E21252" w:rsidP="00442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94C1F"/>
    <w:multiLevelType w:val="hybridMultilevel"/>
    <w:tmpl w:val="D3888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370A58"/>
    <w:multiLevelType w:val="hybridMultilevel"/>
    <w:tmpl w:val="E5E8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0154F1"/>
    <w:multiLevelType w:val="hybridMultilevel"/>
    <w:tmpl w:val="439AE81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C560C7C"/>
    <w:multiLevelType w:val="hybridMultilevel"/>
    <w:tmpl w:val="82D6AE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3924CB"/>
    <w:multiLevelType w:val="hybridMultilevel"/>
    <w:tmpl w:val="5454A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5E0183"/>
    <w:rsid w:val="001C3920"/>
    <w:rsid w:val="001E13C3"/>
    <w:rsid w:val="003D2AD3"/>
    <w:rsid w:val="00422A06"/>
    <w:rsid w:val="00436EF5"/>
    <w:rsid w:val="004423AB"/>
    <w:rsid w:val="005E0183"/>
    <w:rsid w:val="005F4477"/>
    <w:rsid w:val="00666D34"/>
    <w:rsid w:val="007046C8"/>
    <w:rsid w:val="007B7B41"/>
    <w:rsid w:val="008C6CDA"/>
    <w:rsid w:val="00A234ED"/>
    <w:rsid w:val="00B9728A"/>
    <w:rsid w:val="00BA43DB"/>
    <w:rsid w:val="00C56805"/>
    <w:rsid w:val="00E21252"/>
    <w:rsid w:val="00E7411B"/>
    <w:rsid w:val="00EF3B35"/>
    <w:rsid w:val="00F33859"/>
    <w:rsid w:val="00FB4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183"/>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183"/>
    <w:pPr>
      <w:ind w:left="720"/>
      <w:contextualSpacing/>
    </w:pPr>
  </w:style>
  <w:style w:type="paragraph" w:styleId="Footer">
    <w:name w:val="footer"/>
    <w:basedOn w:val="Normal"/>
    <w:link w:val="FooterChar"/>
    <w:uiPriority w:val="99"/>
    <w:unhideWhenUsed/>
    <w:rsid w:val="005E0183"/>
    <w:pPr>
      <w:tabs>
        <w:tab w:val="center" w:pos="4680"/>
        <w:tab w:val="right" w:pos="9360"/>
      </w:tabs>
    </w:pPr>
  </w:style>
  <w:style w:type="character" w:customStyle="1" w:styleId="FooterChar">
    <w:name w:val="Footer Char"/>
    <w:basedOn w:val="DefaultParagraphFont"/>
    <w:link w:val="Footer"/>
    <w:uiPriority w:val="99"/>
    <w:rsid w:val="005E0183"/>
    <w:rPr>
      <w:rFonts w:ascii="Times New Roman" w:eastAsia="Times New Roman" w:hAnsi="Times New Roman" w:cs="Times New Roman"/>
      <w:sz w:val="24"/>
      <w:szCs w:val="24"/>
      <w:lang w:val="fr-FR"/>
    </w:rPr>
  </w:style>
  <w:style w:type="paragraph" w:customStyle="1" w:styleId="TableText">
    <w:name w:val="Table Text"/>
    <w:basedOn w:val="Normal"/>
    <w:rsid w:val="005E0183"/>
    <w:pPr>
      <w:overflowPunct w:val="0"/>
      <w:autoSpaceDE w:val="0"/>
      <w:autoSpaceDN w:val="0"/>
      <w:adjustRightInd w:val="0"/>
      <w:textAlignment w:val="baseline"/>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cp:lastPrinted>2013-06-25T15:03:00Z</cp:lastPrinted>
  <dcterms:created xsi:type="dcterms:W3CDTF">2013-06-26T21:43:00Z</dcterms:created>
  <dcterms:modified xsi:type="dcterms:W3CDTF">2013-06-26T21:43:00Z</dcterms:modified>
</cp:coreProperties>
</file>