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E5" w:rsidRDefault="007574E5" w:rsidP="007574E5">
      <w:pPr>
        <w:rPr>
          <w:rFonts w:ascii="Bodoni MT Black" w:eastAsia="Arial Unicode MS" w:hAnsi="Bodoni MT Black" w:cs="Arial Unicode MS"/>
          <w:b/>
          <w:sz w:val="28"/>
          <w:szCs w:val="28"/>
        </w:rPr>
      </w:pPr>
      <w:r>
        <w:rPr>
          <w:rFonts w:ascii="Bodoni MT Black" w:eastAsia="Arial Unicode MS" w:hAnsi="Bodoni MT Black" w:cs="Arial Unicode MS"/>
          <w:b/>
          <w:noProof/>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-228600</wp:posOffset>
            </wp:positionV>
            <wp:extent cx="971550" cy="914400"/>
            <wp:effectExtent l="19050" t="0" r="0" b="0"/>
            <wp:wrapNone/>
            <wp:docPr id="2"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8" cstate="print"/>
                    <a:srcRect/>
                    <a:stretch>
                      <a:fillRect/>
                    </a:stretch>
                  </pic:blipFill>
                  <pic:spPr bwMode="auto">
                    <a:xfrm>
                      <a:off x="0" y="0"/>
                      <a:ext cx="971550" cy="914400"/>
                    </a:xfrm>
                    <a:prstGeom prst="rect">
                      <a:avLst/>
                    </a:prstGeom>
                    <a:noFill/>
                  </pic:spPr>
                </pic:pic>
              </a:graphicData>
            </a:graphic>
          </wp:anchor>
        </w:drawing>
      </w:r>
    </w:p>
    <w:p w:rsidR="007574E5" w:rsidRDefault="007574E5" w:rsidP="007574E5">
      <w:pPr>
        <w:jc w:val="center"/>
        <w:rPr>
          <w:rFonts w:ascii="Bodoni MT Black" w:eastAsia="Arial Unicode MS" w:hAnsi="Bodoni MT Black" w:cs="Arial Unicode MS"/>
          <w:b/>
          <w:sz w:val="28"/>
          <w:szCs w:val="28"/>
        </w:rPr>
      </w:pPr>
    </w:p>
    <w:p w:rsidR="007574E5" w:rsidRPr="009A6EBD" w:rsidRDefault="007574E5" w:rsidP="007574E5">
      <w:pPr>
        <w:ind w:left="360" w:right="360" w:hanging="360"/>
        <w:jc w:val="right"/>
        <w:rPr>
          <w:rFonts w:eastAsia="Arial Unicode MS"/>
          <w:b/>
          <w:sz w:val="28"/>
          <w:szCs w:val="28"/>
        </w:rPr>
      </w:pPr>
    </w:p>
    <w:p w:rsidR="007574E5" w:rsidRPr="00CB15A8" w:rsidRDefault="007574E5" w:rsidP="007574E5">
      <w:pPr>
        <w:ind w:left="360" w:hanging="360"/>
        <w:jc w:val="center"/>
        <w:rPr>
          <w:rFonts w:eastAsia="Arial Unicode MS"/>
          <w:b/>
          <w:i/>
          <w:sz w:val="32"/>
          <w:szCs w:val="32"/>
        </w:rPr>
      </w:pPr>
      <w:r w:rsidRPr="00CB15A8">
        <w:rPr>
          <w:rFonts w:eastAsia="Arial Unicode MS"/>
          <w:b/>
          <w:i/>
          <w:sz w:val="32"/>
          <w:szCs w:val="32"/>
        </w:rPr>
        <w:t>SOCIETE NATIONALE DE LA CROIX-ROUGE HAITIENNE</w:t>
      </w:r>
    </w:p>
    <w:p w:rsidR="007574E5" w:rsidRPr="00CB15A8" w:rsidRDefault="007574E5" w:rsidP="007574E5">
      <w:pPr>
        <w:spacing w:line="276" w:lineRule="auto"/>
        <w:ind w:left="360" w:hanging="360"/>
        <w:jc w:val="center"/>
        <w:rPr>
          <w:b/>
          <w:i/>
          <w:noProof/>
          <w:color w:val="000000"/>
          <w:u w:val="single"/>
        </w:rPr>
      </w:pPr>
      <w:r w:rsidRPr="00CB15A8">
        <w:rPr>
          <w:b/>
          <w:i/>
          <w:noProof/>
          <w:color w:val="000000"/>
          <w:u w:val="single"/>
        </w:rPr>
        <w:t>AVIS DE RECRUTEMENT</w:t>
      </w:r>
    </w:p>
    <w:p w:rsidR="007574E5" w:rsidRPr="00EB4DF3" w:rsidRDefault="007574E5" w:rsidP="007574E5">
      <w:pPr>
        <w:spacing w:line="276" w:lineRule="auto"/>
        <w:ind w:left="360" w:hanging="360"/>
        <w:jc w:val="center"/>
        <w:rPr>
          <w:rFonts w:cstheme="minorHAnsi"/>
          <w:b/>
        </w:rPr>
      </w:pPr>
      <w:r w:rsidRPr="00EB4DF3">
        <w:rPr>
          <w:rFonts w:ascii="Garamond" w:hAnsi="Garamond"/>
          <w:i/>
          <w:noProof/>
          <w:color w:val="000000"/>
        </w:rPr>
        <w:t>La Societé Nationale de la Croix Rouge Haitienne cherche pour le</w:t>
      </w:r>
      <w:r w:rsidRPr="00EB4DF3">
        <w:rPr>
          <w:rFonts w:cstheme="minorHAnsi"/>
          <w:b/>
          <w:i/>
        </w:rPr>
        <w:t xml:space="preserve"> </w:t>
      </w:r>
      <w:r w:rsidRPr="00EB4DF3">
        <w:rPr>
          <w:rFonts w:cstheme="minorHAnsi"/>
          <w:b/>
          <w:i/>
          <w:lang w:val="fr-CA"/>
        </w:rPr>
        <w:t xml:space="preserve">Cap </w:t>
      </w:r>
      <w:r w:rsidRPr="00EB4DF3">
        <w:rPr>
          <w:rFonts w:cstheme="minorHAnsi"/>
          <w:b/>
          <w:i/>
        </w:rPr>
        <w:t>Haïtien</w:t>
      </w:r>
      <w:r w:rsidRPr="00EB4DF3">
        <w:rPr>
          <w:rFonts w:cstheme="minorHAnsi"/>
          <w:i/>
          <w:lang w:val="fr-CA"/>
        </w:rPr>
        <w:t xml:space="preserve"> </w:t>
      </w:r>
    </w:p>
    <w:p w:rsidR="00F570C1" w:rsidRPr="00F570C1" w:rsidRDefault="007574E5" w:rsidP="00F570C1">
      <w:pPr>
        <w:pStyle w:val="ListParagraph"/>
        <w:numPr>
          <w:ilvl w:val="0"/>
          <w:numId w:val="4"/>
        </w:numPr>
        <w:pBdr>
          <w:bottom w:val="single" w:sz="12" w:space="1" w:color="auto"/>
        </w:pBdr>
        <w:spacing w:line="276" w:lineRule="auto"/>
        <w:jc w:val="center"/>
        <w:rPr>
          <w:rFonts w:cstheme="minorHAnsi"/>
          <w:b/>
          <w:iCs/>
        </w:rPr>
      </w:pPr>
      <w:r w:rsidRPr="00EC487B">
        <w:rPr>
          <w:rFonts w:cstheme="minorHAnsi"/>
          <w:b/>
        </w:rPr>
        <w:t>Gestionnaire</w:t>
      </w:r>
      <w:r>
        <w:rPr>
          <w:rFonts w:cstheme="minorHAnsi"/>
          <w:b/>
          <w:iCs/>
        </w:rPr>
        <w:t xml:space="preserve"> de Redevabilité envers les B</w:t>
      </w:r>
      <w:r w:rsidRPr="00EC487B">
        <w:rPr>
          <w:rFonts w:cstheme="minorHAnsi"/>
          <w:b/>
          <w:iCs/>
        </w:rPr>
        <w:t>énéficiair</w:t>
      </w:r>
      <w:r>
        <w:rPr>
          <w:rFonts w:cstheme="minorHAnsi"/>
          <w:b/>
          <w:iCs/>
        </w:rPr>
        <w:t>es</w:t>
      </w:r>
    </w:p>
    <w:p w:rsidR="007574E5" w:rsidRPr="00A40A84" w:rsidRDefault="007574E5" w:rsidP="007574E5">
      <w:pPr>
        <w:ind w:firstLine="420"/>
        <w:jc w:val="both"/>
        <w:rPr>
          <w:sz w:val="22"/>
          <w:szCs w:val="22"/>
        </w:rPr>
      </w:pPr>
      <w:r w:rsidRPr="00A40A84">
        <w:rPr>
          <w:b/>
        </w:rPr>
        <w:t>Objet</w:t>
      </w:r>
      <w:r>
        <w:t> </w:t>
      </w:r>
      <w:r w:rsidRPr="00A40A84">
        <w:rPr>
          <w:sz w:val="22"/>
          <w:szCs w:val="22"/>
        </w:rPr>
        <w:t>: Suite au séisme du 12 janvier 2010 en Haïti, la Croix Rouge Haïtienne (CRH) a revu à la hausse son aide au peuple haïtien dans ses efforts de récupération post-séisme. L</w:t>
      </w:r>
      <w:r>
        <w:rPr>
          <w:sz w:val="22"/>
          <w:szCs w:val="22"/>
        </w:rPr>
        <w:t>e Programme d’Assistance (PA</w:t>
      </w:r>
      <w:r w:rsidRPr="00A40A84">
        <w:rPr>
          <w:sz w:val="22"/>
          <w:szCs w:val="22"/>
        </w:rPr>
        <w:t>) a été créé pour orienter les réponses de l’organisation au tremblement de ter</w:t>
      </w:r>
      <w:r>
        <w:rPr>
          <w:sz w:val="22"/>
          <w:szCs w:val="22"/>
        </w:rPr>
        <w:t>re de 2010. Les activités</w:t>
      </w:r>
      <w:r w:rsidRPr="00A40A84">
        <w:rPr>
          <w:sz w:val="22"/>
          <w:szCs w:val="22"/>
        </w:rPr>
        <w:t xml:space="preserve"> mettent l’accent sur le relèvement  communautaire intégré et sur les interventions de préparation en Haïti en travaillant avec de partenaires du mouvement et externes.</w:t>
      </w:r>
    </w:p>
    <w:p w:rsidR="007574E5" w:rsidRPr="00A40A84" w:rsidRDefault="007574E5" w:rsidP="007574E5">
      <w:pPr>
        <w:spacing w:line="276" w:lineRule="auto"/>
        <w:rPr>
          <w:b/>
          <w:color w:val="000000"/>
          <w:u w:val="single"/>
        </w:rPr>
      </w:pPr>
      <w:r w:rsidRPr="00A40A84">
        <w:rPr>
          <w:sz w:val="22"/>
          <w:szCs w:val="22"/>
        </w:rPr>
        <w:t xml:space="preserve">Le </w:t>
      </w:r>
      <w:r w:rsidRPr="00A40A84">
        <w:rPr>
          <w:i/>
          <w:sz w:val="22"/>
          <w:szCs w:val="22"/>
        </w:rPr>
        <w:t>Programme</w:t>
      </w:r>
      <w:r w:rsidRPr="00A40A84">
        <w:rPr>
          <w:sz w:val="22"/>
          <w:szCs w:val="22"/>
        </w:rPr>
        <w:t xml:space="preserve"> </w:t>
      </w:r>
      <w:r w:rsidRPr="00A40A84">
        <w:rPr>
          <w:i/>
          <w:sz w:val="22"/>
          <w:szCs w:val="22"/>
        </w:rPr>
        <w:t>communautaire intégré basé dans le Nord (</w:t>
      </w:r>
      <w:r>
        <w:rPr>
          <w:i/>
          <w:sz w:val="22"/>
          <w:szCs w:val="22"/>
        </w:rPr>
        <w:t>PCIBN</w:t>
      </w:r>
      <w:r w:rsidRPr="00A40A84">
        <w:rPr>
          <w:sz w:val="22"/>
          <w:szCs w:val="22"/>
        </w:rPr>
        <w:t>) a pour but d’augmenter la résilience des collectivités, de bâtir des communautés plus solides et de réduire l’exposition aux chocs externes particulièrement dans les communautés rurales ciblées, au moyen d’une approche programmatique intégrée qui renforce l’impact mutuel du travail multisectoriel au niveau de la réduction des risques de désastre, la santé, l’eau et l’assainissement et les moyens de subsistance</w:t>
      </w:r>
    </w:p>
    <w:p w:rsidR="007574E5" w:rsidRPr="00FB36D8" w:rsidRDefault="007574E5" w:rsidP="007574E5">
      <w:pPr>
        <w:spacing w:line="276" w:lineRule="auto"/>
        <w:ind w:left="360"/>
        <w:rPr>
          <w:b/>
          <w:color w:val="000000"/>
          <w:u w:val="single"/>
        </w:rPr>
      </w:pPr>
      <w:r w:rsidRPr="00FA0BEF">
        <w:rPr>
          <w:b/>
          <w:color w:val="000000"/>
          <w:u w:val="single"/>
        </w:rPr>
        <w:t>Tâches et Responsabilités Spécifiques</w:t>
      </w:r>
    </w:p>
    <w:tbl>
      <w:tblPr>
        <w:tblW w:w="11120"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1120"/>
      </w:tblGrid>
      <w:tr w:rsidR="007574E5" w:rsidRPr="00F561F6" w:rsidTr="007E4794">
        <w:trPr>
          <w:trHeight w:val="464"/>
        </w:trPr>
        <w:tc>
          <w:tcPr>
            <w:tcW w:w="11120" w:type="dxa"/>
            <w:tcBorders>
              <w:top w:val="nil"/>
              <w:left w:val="nil"/>
              <w:bottom w:val="nil"/>
              <w:right w:val="nil"/>
            </w:tcBorders>
          </w:tcPr>
          <w:p w:rsidR="007574E5" w:rsidRPr="006D2F97" w:rsidRDefault="007574E5" w:rsidP="007E4794">
            <w:pPr>
              <w:pStyle w:val="toa"/>
              <w:tabs>
                <w:tab w:val="clear" w:pos="9000"/>
                <w:tab w:val="clear" w:pos="9360"/>
              </w:tabs>
              <w:suppressAutoHyphens w:val="0"/>
              <w:jc w:val="both"/>
              <w:rPr>
                <w:iCs/>
                <w:color w:val="000000"/>
                <w:szCs w:val="22"/>
                <w:lang w:val="fr-FR"/>
              </w:rPr>
            </w:pPr>
            <w:r>
              <w:rPr>
                <w:rFonts w:asciiTheme="minorHAnsi" w:hAnsiTheme="minorHAnsi" w:cstheme="minorHAnsi"/>
                <w:iCs/>
                <w:color w:val="000000"/>
                <w:sz w:val="22"/>
                <w:szCs w:val="22"/>
                <w:lang w:val="fr-FR"/>
              </w:rPr>
              <w:t>Le</w:t>
            </w:r>
            <w:r w:rsidRPr="00AD2F60">
              <w:rPr>
                <w:rFonts w:asciiTheme="minorHAnsi" w:hAnsiTheme="minorHAnsi" w:cstheme="minorHAnsi"/>
                <w:iCs/>
                <w:color w:val="000000"/>
                <w:sz w:val="22"/>
                <w:szCs w:val="22"/>
                <w:lang w:val="fr-FR"/>
              </w:rPr>
              <w:t xml:space="preserve">s </w:t>
            </w:r>
            <w:r w:rsidRPr="006D2F97">
              <w:rPr>
                <w:iCs/>
                <w:color w:val="000000"/>
                <w:sz w:val="22"/>
                <w:szCs w:val="22"/>
                <w:lang w:val="fr-FR"/>
              </w:rPr>
              <w:t xml:space="preserve">responsabilités et obligations du </w:t>
            </w:r>
            <w:r w:rsidR="00F570C1">
              <w:rPr>
                <w:iCs/>
                <w:color w:val="000000"/>
                <w:sz w:val="22"/>
                <w:szCs w:val="22"/>
                <w:lang w:val="fr-FR"/>
              </w:rPr>
              <w:t xml:space="preserve">Gestionnaire de Redevabilité </w:t>
            </w:r>
            <w:r w:rsidRPr="006D2F97">
              <w:rPr>
                <w:iCs/>
                <w:color w:val="000000"/>
                <w:sz w:val="22"/>
                <w:szCs w:val="22"/>
                <w:lang w:val="fr-FR"/>
              </w:rPr>
              <w:t>comprennent, mais ne se limitent pas à :</w:t>
            </w:r>
          </w:p>
          <w:p w:rsidR="00F570C1" w:rsidRPr="00597CCE" w:rsidRDefault="00F570C1" w:rsidP="00F570C1">
            <w:pPr>
              <w:pStyle w:val="Pa17"/>
              <w:numPr>
                <w:ilvl w:val="0"/>
                <w:numId w:val="6"/>
              </w:numPr>
              <w:jc w:val="both"/>
              <w:rPr>
                <w:rFonts w:asciiTheme="minorHAnsi" w:hAnsiTheme="minorHAnsi" w:cstheme="minorHAnsi"/>
                <w:lang w:val="fr-FR"/>
              </w:rPr>
            </w:pPr>
            <w:r w:rsidRPr="00597CCE">
              <w:rPr>
                <w:rFonts w:asciiTheme="minorHAnsi" w:hAnsiTheme="minorHAnsi" w:cstheme="minorHAnsi"/>
                <w:sz w:val="22"/>
                <w:szCs w:val="22"/>
                <w:lang w:val="fr-FR"/>
              </w:rPr>
              <w:t xml:space="preserve">Contribuer </w:t>
            </w:r>
            <w:r>
              <w:rPr>
                <w:rFonts w:asciiTheme="minorHAnsi" w:hAnsiTheme="minorHAnsi" w:cstheme="minorHAnsi"/>
                <w:sz w:val="22"/>
                <w:szCs w:val="22"/>
                <w:lang w:val="fr-FR"/>
              </w:rPr>
              <w:t>à</w:t>
            </w:r>
            <w:r w:rsidRPr="00597CCE">
              <w:rPr>
                <w:rFonts w:asciiTheme="minorHAnsi" w:hAnsiTheme="minorHAnsi" w:cstheme="minorHAnsi"/>
                <w:sz w:val="22"/>
                <w:szCs w:val="22"/>
                <w:lang w:val="fr-FR"/>
              </w:rPr>
              <w:t xml:space="preserve"> la planification d’un programme stratégique</w:t>
            </w:r>
            <w:r>
              <w:rPr>
                <w:rFonts w:asciiTheme="minorHAnsi" w:hAnsiTheme="minorHAnsi" w:cstheme="minorHAnsi"/>
                <w:sz w:val="22"/>
                <w:szCs w:val="22"/>
                <w:lang w:val="fr-FR"/>
              </w:rPr>
              <w:t xml:space="preserve"> d’ATB</w:t>
            </w:r>
          </w:p>
          <w:p w:rsidR="00F570C1" w:rsidRPr="00597CCE" w:rsidRDefault="00F570C1" w:rsidP="00F570C1">
            <w:pPr>
              <w:pStyle w:val="Pa17"/>
              <w:numPr>
                <w:ilvl w:val="0"/>
                <w:numId w:val="6"/>
              </w:numPr>
              <w:jc w:val="both"/>
              <w:rPr>
                <w:rFonts w:asciiTheme="minorHAnsi" w:hAnsiTheme="minorHAnsi" w:cstheme="minorHAnsi"/>
                <w:lang w:val="fr-FR"/>
              </w:rPr>
            </w:pPr>
            <w:r w:rsidRPr="00597CCE">
              <w:rPr>
                <w:rFonts w:asciiTheme="minorHAnsi" w:hAnsiTheme="minorHAnsi" w:cstheme="minorHAnsi"/>
                <w:sz w:val="22"/>
                <w:szCs w:val="22"/>
                <w:lang w:val="fr-FR"/>
              </w:rPr>
              <w:t>Responsable de l'élaboration et</w:t>
            </w:r>
            <w:r>
              <w:rPr>
                <w:rFonts w:asciiTheme="minorHAnsi" w:hAnsiTheme="minorHAnsi" w:cstheme="minorHAnsi"/>
                <w:sz w:val="22"/>
                <w:szCs w:val="22"/>
                <w:lang w:val="fr-FR"/>
              </w:rPr>
              <w:t xml:space="preserve"> de</w:t>
            </w:r>
            <w:r w:rsidRPr="00597CCE">
              <w:rPr>
                <w:rFonts w:asciiTheme="minorHAnsi" w:hAnsiTheme="minorHAnsi" w:cstheme="minorHAnsi"/>
                <w:sz w:val="22"/>
                <w:szCs w:val="22"/>
                <w:lang w:val="fr-FR"/>
              </w:rPr>
              <w:t xml:space="preserve"> l</w:t>
            </w:r>
            <w:r>
              <w:rPr>
                <w:rFonts w:asciiTheme="minorHAnsi" w:hAnsiTheme="minorHAnsi" w:cstheme="minorHAnsi"/>
                <w:sz w:val="22"/>
                <w:szCs w:val="22"/>
                <w:lang w:val="fr-FR"/>
              </w:rPr>
              <w:t xml:space="preserve">’implémentation </w:t>
            </w:r>
            <w:r w:rsidRPr="00597CCE">
              <w:rPr>
                <w:rFonts w:asciiTheme="minorHAnsi" w:hAnsiTheme="minorHAnsi" w:cstheme="minorHAnsi"/>
                <w:sz w:val="22"/>
                <w:szCs w:val="22"/>
                <w:lang w:val="fr-FR"/>
              </w:rPr>
              <w:t>des sections a</w:t>
            </w:r>
            <w:r>
              <w:rPr>
                <w:rFonts w:asciiTheme="minorHAnsi" w:hAnsiTheme="minorHAnsi" w:cstheme="minorHAnsi"/>
                <w:sz w:val="22"/>
                <w:szCs w:val="22"/>
                <w:lang w:val="fr-FR"/>
              </w:rPr>
              <w:t>ssignées de la stratégie de l'AT</w:t>
            </w:r>
            <w:r w:rsidRPr="00597CCE">
              <w:rPr>
                <w:rFonts w:asciiTheme="minorHAnsi" w:hAnsiTheme="minorHAnsi" w:cstheme="minorHAnsi"/>
                <w:sz w:val="22"/>
                <w:szCs w:val="22"/>
                <w:lang w:val="fr-FR"/>
              </w:rPr>
              <w:t>B qui incluent:</w:t>
            </w:r>
          </w:p>
          <w:p w:rsidR="00F570C1" w:rsidRPr="001B4064" w:rsidRDefault="00F570C1" w:rsidP="001F5D85">
            <w:pPr>
              <w:pStyle w:val="ListParagraph"/>
              <w:numPr>
                <w:ilvl w:val="1"/>
                <w:numId w:val="9"/>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Fournir l’</w:t>
            </w:r>
            <w:r w:rsidRPr="007B6C5E">
              <w:rPr>
                <w:rFonts w:asciiTheme="minorHAnsi" w:hAnsiTheme="minorHAnsi"/>
                <w:sz w:val="22"/>
                <w:szCs w:val="22"/>
              </w:rPr>
              <w:t>information</w:t>
            </w:r>
            <w:r>
              <w:rPr>
                <w:rFonts w:asciiTheme="minorHAnsi" w:hAnsiTheme="minorHAnsi"/>
                <w:sz w:val="22"/>
                <w:szCs w:val="22"/>
              </w:rPr>
              <w:t xml:space="preserve"> : transmettre</w:t>
            </w:r>
            <w:r w:rsidRPr="007B6C5E">
              <w:rPr>
                <w:rFonts w:asciiTheme="minorHAnsi" w:hAnsiTheme="minorHAnsi"/>
                <w:sz w:val="22"/>
                <w:szCs w:val="22"/>
              </w:rPr>
              <w:t xml:space="preserve"> régulièrement des informations aux parties intéressées</w:t>
            </w:r>
            <w:r>
              <w:rPr>
                <w:rFonts w:asciiTheme="minorHAnsi" w:hAnsiTheme="minorHAnsi"/>
                <w:sz w:val="22"/>
                <w:szCs w:val="22"/>
              </w:rPr>
              <w:t>.</w:t>
            </w:r>
          </w:p>
          <w:p w:rsidR="00F570C1" w:rsidRPr="007B6C5E" w:rsidRDefault="00F570C1" w:rsidP="001F5D85">
            <w:pPr>
              <w:pStyle w:val="ListParagraph"/>
              <w:numPr>
                <w:ilvl w:val="1"/>
                <w:numId w:val="9"/>
              </w:numPr>
              <w:overflowPunct w:val="0"/>
              <w:autoSpaceDE w:val="0"/>
              <w:autoSpaceDN w:val="0"/>
              <w:adjustRightInd w:val="0"/>
              <w:jc w:val="both"/>
              <w:textAlignment w:val="baseline"/>
              <w:rPr>
                <w:rFonts w:asciiTheme="minorHAnsi" w:hAnsiTheme="minorHAnsi"/>
              </w:rPr>
            </w:pPr>
            <w:r w:rsidRPr="007B6C5E">
              <w:rPr>
                <w:rFonts w:asciiTheme="minorHAnsi" w:hAnsiTheme="minorHAnsi"/>
                <w:sz w:val="22"/>
                <w:szCs w:val="22"/>
              </w:rPr>
              <w:t xml:space="preserve">Collecter l’information: recueillir les commentaires issus des communautés qui conduisent </w:t>
            </w:r>
            <w:r>
              <w:rPr>
                <w:rFonts w:asciiTheme="minorHAnsi" w:hAnsiTheme="minorHAnsi"/>
                <w:sz w:val="22"/>
                <w:szCs w:val="22"/>
              </w:rPr>
              <w:t>à</w:t>
            </w:r>
            <w:r w:rsidRPr="007B6C5E">
              <w:rPr>
                <w:rFonts w:asciiTheme="minorHAnsi" w:hAnsiTheme="minorHAnsi"/>
                <w:sz w:val="22"/>
                <w:szCs w:val="22"/>
              </w:rPr>
              <w:t xml:space="preserve"> une meilleur</w:t>
            </w:r>
            <w:r>
              <w:rPr>
                <w:rFonts w:asciiTheme="minorHAnsi" w:hAnsiTheme="minorHAnsi"/>
                <w:sz w:val="22"/>
                <w:szCs w:val="22"/>
              </w:rPr>
              <w:t>e</w:t>
            </w:r>
            <w:r w:rsidRPr="007B6C5E">
              <w:rPr>
                <w:rFonts w:asciiTheme="minorHAnsi" w:hAnsiTheme="minorHAnsi"/>
                <w:sz w:val="22"/>
                <w:szCs w:val="22"/>
              </w:rPr>
              <w:t xml:space="preserve"> conception des programmes </w:t>
            </w:r>
            <w:r>
              <w:rPr>
                <w:rFonts w:asciiTheme="minorHAnsi" w:hAnsiTheme="minorHAnsi"/>
                <w:sz w:val="22"/>
                <w:szCs w:val="22"/>
              </w:rPr>
              <w:t>et</w:t>
            </w:r>
            <w:r w:rsidRPr="007B6C5E">
              <w:rPr>
                <w:rFonts w:asciiTheme="minorHAnsi" w:hAnsiTheme="minorHAnsi"/>
                <w:sz w:val="22"/>
                <w:szCs w:val="22"/>
              </w:rPr>
              <w:t xml:space="preserve"> opération</w:t>
            </w:r>
            <w:r>
              <w:rPr>
                <w:rFonts w:asciiTheme="minorHAnsi" w:hAnsiTheme="minorHAnsi"/>
                <w:sz w:val="22"/>
                <w:szCs w:val="22"/>
              </w:rPr>
              <w:t>s</w:t>
            </w:r>
          </w:p>
          <w:p w:rsidR="00F570C1" w:rsidRPr="001B4064" w:rsidRDefault="00F570C1" w:rsidP="001F5D85">
            <w:pPr>
              <w:pStyle w:val="ListParagraph"/>
              <w:numPr>
                <w:ilvl w:val="1"/>
                <w:numId w:val="9"/>
              </w:numPr>
              <w:overflowPunct w:val="0"/>
              <w:autoSpaceDE w:val="0"/>
              <w:autoSpaceDN w:val="0"/>
              <w:adjustRightInd w:val="0"/>
              <w:jc w:val="both"/>
              <w:textAlignment w:val="baseline"/>
              <w:rPr>
                <w:rFonts w:asciiTheme="minorHAnsi" w:hAnsiTheme="minorHAnsi"/>
              </w:rPr>
            </w:pPr>
            <w:r w:rsidRPr="001B4064">
              <w:rPr>
                <w:rFonts w:asciiTheme="minorHAnsi" w:hAnsiTheme="minorHAnsi"/>
                <w:sz w:val="22"/>
                <w:szCs w:val="22"/>
              </w:rPr>
              <w:t xml:space="preserve">Consultation: vérifier régulièrement avec les communautés sur les activités et </w:t>
            </w:r>
            <w:r>
              <w:rPr>
                <w:rFonts w:asciiTheme="minorHAnsi" w:hAnsiTheme="minorHAnsi"/>
                <w:sz w:val="22"/>
                <w:szCs w:val="22"/>
              </w:rPr>
              <w:t>progrès.</w:t>
            </w:r>
          </w:p>
          <w:p w:rsidR="00F570C1" w:rsidRPr="001B4064" w:rsidRDefault="00F570C1" w:rsidP="001F5D85">
            <w:pPr>
              <w:pStyle w:val="ListParagraph"/>
              <w:numPr>
                <w:ilvl w:val="1"/>
                <w:numId w:val="9"/>
              </w:numPr>
              <w:overflowPunct w:val="0"/>
              <w:autoSpaceDE w:val="0"/>
              <w:autoSpaceDN w:val="0"/>
              <w:adjustRightInd w:val="0"/>
              <w:jc w:val="both"/>
              <w:textAlignment w:val="baseline"/>
              <w:rPr>
                <w:rFonts w:asciiTheme="minorHAnsi" w:hAnsiTheme="minorHAnsi"/>
              </w:rPr>
            </w:pPr>
            <w:r w:rsidRPr="001B4064">
              <w:rPr>
                <w:rFonts w:asciiTheme="minorHAnsi" w:hAnsiTheme="minorHAnsi"/>
                <w:sz w:val="22"/>
                <w:szCs w:val="22"/>
              </w:rPr>
              <w:t xml:space="preserve">Participation: identifier les possibilités pour les communautés </w:t>
            </w:r>
            <w:r>
              <w:rPr>
                <w:rFonts w:asciiTheme="minorHAnsi" w:hAnsiTheme="minorHAnsi"/>
                <w:sz w:val="22"/>
                <w:szCs w:val="22"/>
              </w:rPr>
              <w:t>dans la planification du projet, de la mise en œuvre et du suivi.</w:t>
            </w:r>
          </w:p>
          <w:p w:rsidR="00F570C1" w:rsidRPr="001B4064" w:rsidRDefault="00F570C1" w:rsidP="00F570C1">
            <w:pPr>
              <w:pStyle w:val="ListParagraph"/>
              <w:numPr>
                <w:ilvl w:val="0"/>
                <w:numId w:val="6"/>
              </w:numPr>
              <w:overflowPunct w:val="0"/>
              <w:autoSpaceDE w:val="0"/>
              <w:autoSpaceDN w:val="0"/>
              <w:adjustRightInd w:val="0"/>
              <w:jc w:val="both"/>
              <w:textAlignment w:val="baseline"/>
              <w:rPr>
                <w:rFonts w:asciiTheme="minorHAnsi" w:hAnsiTheme="minorHAnsi" w:cstheme="minorHAnsi"/>
                <w:lang w:bidi="hi-IN"/>
              </w:rPr>
            </w:pPr>
            <w:r w:rsidRPr="001B4064">
              <w:rPr>
                <w:rFonts w:asciiTheme="minorHAnsi" w:hAnsiTheme="minorHAnsi" w:cstheme="minorHAnsi"/>
                <w:sz w:val="22"/>
                <w:szCs w:val="22"/>
                <w:lang w:bidi="hi-IN"/>
              </w:rPr>
              <w:t>Examiner régulièrement et mettre à jour le plan de compte aux bénéficiaires.</w:t>
            </w:r>
          </w:p>
          <w:p w:rsidR="007574E5" w:rsidRPr="00434F4E" w:rsidRDefault="00F570C1" w:rsidP="00F570C1">
            <w:pPr>
              <w:pStyle w:val="toa"/>
              <w:numPr>
                <w:ilvl w:val="0"/>
                <w:numId w:val="6"/>
              </w:numPr>
              <w:tabs>
                <w:tab w:val="clear" w:pos="9000"/>
                <w:tab w:val="clear" w:pos="9360"/>
              </w:tabs>
              <w:suppressAutoHyphens w:val="0"/>
              <w:jc w:val="both"/>
              <w:rPr>
                <w:szCs w:val="22"/>
                <w:lang w:val="fr-FR"/>
              </w:rPr>
            </w:pPr>
            <w:r w:rsidRPr="00150A26">
              <w:rPr>
                <w:rFonts w:asciiTheme="minorHAnsi" w:hAnsiTheme="minorHAnsi" w:cstheme="minorHAnsi"/>
                <w:sz w:val="22"/>
                <w:szCs w:val="22"/>
                <w:lang w:val="fr-FR" w:bidi="hi-IN"/>
              </w:rPr>
              <w:t>Développer et maintenir une bonne relation de travail avec les communautés, les équipes de</w:t>
            </w:r>
            <w:r w:rsidR="00C626EE" w:rsidRPr="00726849">
              <w:rPr>
                <w:rFonts w:cstheme="minorHAnsi"/>
                <w:lang w:val="fr-FR" w:bidi="hi-IN"/>
              </w:rPr>
              <w:t xml:space="preserve"> mobilisation communautaire de terrain et participer aux réunions régulières de coordination et de réunions communautaires</w:t>
            </w:r>
          </w:p>
          <w:p w:rsidR="00434F4E" w:rsidRPr="00726849" w:rsidRDefault="00434F4E" w:rsidP="00434F4E">
            <w:pPr>
              <w:pStyle w:val="ListParagraph"/>
              <w:numPr>
                <w:ilvl w:val="0"/>
                <w:numId w:val="8"/>
              </w:numPr>
              <w:overflowPunct w:val="0"/>
              <w:autoSpaceDE w:val="0"/>
              <w:autoSpaceDN w:val="0"/>
              <w:adjustRightInd w:val="0"/>
              <w:jc w:val="both"/>
              <w:textAlignment w:val="baseline"/>
              <w:rPr>
                <w:rFonts w:cstheme="minorHAnsi"/>
                <w:lang w:bidi="hi-IN"/>
              </w:rPr>
            </w:pPr>
            <w:r w:rsidRPr="00726849">
              <w:rPr>
                <w:rFonts w:cstheme="minorHAnsi"/>
                <w:lang w:bidi="hi-IN"/>
              </w:rPr>
              <w:t>Travailler en étroite collaboration avec le département de la reddition de comptes, du suivi et évaluation et de l’a</w:t>
            </w:r>
            <w:r w:rsidR="00EC728F">
              <w:rPr>
                <w:rFonts w:cstheme="minorHAnsi"/>
                <w:lang w:bidi="hi-IN"/>
              </w:rPr>
              <w:t xml:space="preserve">pprentissage </w:t>
            </w:r>
          </w:p>
          <w:p w:rsidR="00434F4E" w:rsidRPr="00726849" w:rsidRDefault="00434F4E" w:rsidP="00434F4E">
            <w:pPr>
              <w:pStyle w:val="ListParagraph"/>
              <w:numPr>
                <w:ilvl w:val="0"/>
                <w:numId w:val="8"/>
              </w:numPr>
              <w:overflowPunct w:val="0"/>
              <w:autoSpaceDE w:val="0"/>
              <w:autoSpaceDN w:val="0"/>
              <w:adjustRightInd w:val="0"/>
              <w:jc w:val="both"/>
              <w:textAlignment w:val="baseline"/>
              <w:rPr>
                <w:rFonts w:cstheme="minorHAnsi"/>
                <w:lang w:bidi="hi-IN"/>
              </w:rPr>
            </w:pPr>
            <w:r w:rsidRPr="00726849">
              <w:rPr>
                <w:rFonts w:cstheme="minorHAnsi"/>
                <w:lang w:bidi="hi-IN"/>
              </w:rPr>
              <w:t>Mener des consultations avec les parties prenantes concernées et les collectivités pour déterminer les préférences et les besoins d'information et d'identifier les voies appropriées de communication bidirectionnelles qui sont accessibles aux membres de la communauté. Impliquer activement les communautés dans la conception et l'exécution de ces actions de responsabilisation des bénéficiaires.</w:t>
            </w:r>
          </w:p>
          <w:p w:rsidR="00434F4E" w:rsidRPr="00726849" w:rsidRDefault="00434F4E" w:rsidP="00434F4E">
            <w:pPr>
              <w:pStyle w:val="ListParagraph"/>
              <w:numPr>
                <w:ilvl w:val="0"/>
                <w:numId w:val="8"/>
              </w:numPr>
              <w:overflowPunct w:val="0"/>
              <w:autoSpaceDE w:val="0"/>
              <w:autoSpaceDN w:val="0"/>
              <w:adjustRightInd w:val="0"/>
              <w:jc w:val="both"/>
              <w:textAlignment w:val="baseline"/>
              <w:rPr>
                <w:rFonts w:cstheme="minorHAnsi"/>
                <w:lang w:bidi="hi-IN"/>
              </w:rPr>
            </w:pPr>
            <w:r w:rsidRPr="00726849">
              <w:rPr>
                <w:rFonts w:cstheme="minorHAnsi"/>
                <w:lang w:bidi="hi-IN"/>
              </w:rPr>
              <w:t xml:space="preserve">Responsable du développement global et de la transmission des messages aux bénéficiaires en utilisant les différents canaux spécifiques de communications suivant le contexte (tel qu’identifier par l’évaluation) </w:t>
            </w:r>
          </w:p>
          <w:p w:rsidR="00434F4E" w:rsidRPr="00726849" w:rsidRDefault="00434F4E" w:rsidP="00434F4E">
            <w:pPr>
              <w:pStyle w:val="ListParagraph"/>
              <w:numPr>
                <w:ilvl w:val="0"/>
                <w:numId w:val="8"/>
              </w:numPr>
              <w:overflowPunct w:val="0"/>
              <w:autoSpaceDE w:val="0"/>
              <w:autoSpaceDN w:val="0"/>
              <w:adjustRightInd w:val="0"/>
              <w:jc w:val="both"/>
              <w:textAlignment w:val="baseline"/>
              <w:rPr>
                <w:rFonts w:cstheme="minorHAnsi"/>
                <w:lang w:bidi="hi-IN"/>
              </w:rPr>
            </w:pPr>
            <w:r w:rsidRPr="00726849">
              <w:rPr>
                <w:rFonts w:cstheme="minorHAnsi"/>
                <w:lang w:bidi="hi-IN"/>
              </w:rPr>
              <w:t>Soutenir les équipes de programmes pour élaborer du matériel de communication aux bénéficiaires afin de communiquer à toutes les étapes clés du déroulement du programme.</w:t>
            </w:r>
          </w:p>
          <w:p w:rsidR="00434F4E" w:rsidRPr="00726849" w:rsidRDefault="00434F4E" w:rsidP="00434F4E">
            <w:pPr>
              <w:pStyle w:val="ListParagraph"/>
              <w:numPr>
                <w:ilvl w:val="0"/>
                <w:numId w:val="8"/>
              </w:numPr>
              <w:overflowPunct w:val="0"/>
              <w:autoSpaceDE w:val="0"/>
              <w:autoSpaceDN w:val="0"/>
              <w:adjustRightInd w:val="0"/>
              <w:jc w:val="both"/>
              <w:textAlignment w:val="baseline"/>
              <w:rPr>
                <w:rFonts w:cstheme="minorHAnsi"/>
                <w:lang w:bidi="hi-IN"/>
              </w:rPr>
            </w:pPr>
            <w:r w:rsidRPr="00726849">
              <w:rPr>
                <w:rFonts w:cstheme="minorHAnsi"/>
                <w:lang w:bidi="hi-IN"/>
              </w:rPr>
              <w:t>Établir et gérer des mécanismes pour assurer une consultation appropriée des bénéficiaires et que des mécanismes de rétroaction appropriés sont en place et fonctionnent tout au long du déroulement du programme et que la rétroaction est incorporée à l'avenir dans les  activités de projet.</w:t>
            </w:r>
          </w:p>
          <w:p w:rsidR="00434F4E" w:rsidRDefault="00434F4E" w:rsidP="00434F4E">
            <w:pPr>
              <w:pStyle w:val="ListParagraph"/>
              <w:numPr>
                <w:ilvl w:val="0"/>
                <w:numId w:val="8"/>
              </w:numPr>
              <w:overflowPunct w:val="0"/>
              <w:autoSpaceDE w:val="0"/>
              <w:autoSpaceDN w:val="0"/>
              <w:adjustRightInd w:val="0"/>
              <w:jc w:val="both"/>
              <w:textAlignment w:val="baseline"/>
              <w:rPr>
                <w:rFonts w:cstheme="minorHAnsi"/>
                <w:lang w:bidi="hi-IN"/>
              </w:rPr>
            </w:pPr>
            <w:r w:rsidRPr="00726849">
              <w:rPr>
                <w:rFonts w:cstheme="minorHAnsi"/>
                <w:lang w:bidi="hi-IN"/>
              </w:rPr>
              <w:t>Mettre à jour régulièrement et diffuser des documents du  programme incluant un Q&amp;A pour assurer un message cohérent aux bénéficiaires. Travailler  en étroite collaboration avec les équipes de terrain pour s'assurer que le Q &amp; A reflète les questions soulevées par la communauté et que tout le personnel, y compris ceux qui gèrent les plaintes et le mécanisme d'intervention, sont au courant des réponses.</w:t>
            </w:r>
          </w:p>
          <w:p w:rsidR="003929B7" w:rsidRPr="00726849" w:rsidRDefault="003929B7" w:rsidP="003929B7">
            <w:pPr>
              <w:pStyle w:val="ListParagraph"/>
              <w:overflowPunct w:val="0"/>
              <w:autoSpaceDE w:val="0"/>
              <w:autoSpaceDN w:val="0"/>
              <w:adjustRightInd w:val="0"/>
              <w:jc w:val="both"/>
              <w:textAlignment w:val="baseline"/>
              <w:rPr>
                <w:rFonts w:cstheme="minorHAnsi"/>
                <w:lang w:bidi="hi-IN"/>
              </w:rPr>
            </w:pPr>
          </w:p>
          <w:p w:rsidR="007574E5" w:rsidRDefault="007574E5" w:rsidP="007E4794">
            <w:pPr>
              <w:pStyle w:val="TableText"/>
              <w:ind w:left="360"/>
              <w:rPr>
                <w:rFonts w:cstheme="minorHAnsi"/>
                <w:iCs/>
              </w:rPr>
            </w:pPr>
          </w:p>
          <w:p w:rsidR="007574E5" w:rsidRDefault="007574E5" w:rsidP="007E4794">
            <w:pPr>
              <w:pStyle w:val="TableText"/>
              <w:ind w:left="360"/>
              <w:rPr>
                <w:b/>
              </w:rPr>
            </w:pPr>
            <w:r w:rsidRPr="00F561F6">
              <w:rPr>
                <w:b/>
                <w:u w:val="single"/>
              </w:rPr>
              <w:lastRenderedPageBreak/>
              <w:t>Qualifications et aptitudes requises</w:t>
            </w:r>
            <w:r w:rsidRPr="00F561F6">
              <w:rPr>
                <w:b/>
              </w:rPr>
              <w:t xml:space="preserve"> </w:t>
            </w:r>
          </w:p>
          <w:p w:rsidR="007574E5" w:rsidRDefault="007574E5" w:rsidP="007E4794">
            <w:pPr>
              <w:pStyle w:val="TableText"/>
              <w:ind w:left="360"/>
              <w:rPr>
                <w:b/>
              </w:rPr>
            </w:pPr>
          </w:p>
          <w:p w:rsidR="007574E5" w:rsidRDefault="00866EBB" w:rsidP="00866EBB">
            <w:pPr>
              <w:pStyle w:val="TableText"/>
              <w:numPr>
                <w:ilvl w:val="0"/>
                <w:numId w:val="6"/>
              </w:numPr>
              <w:rPr>
                <w:rFonts w:asciiTheme="minorHAnsi" w:hAnsiTheme="minorHAnsi" w:cstheme="minorHAnsi"/>
                <w:color w:val="000000"/>
                <w:szCs w:val="22"/>
              </w:rPr>
            </w:pPr>
            <w:r w:rsidRPr="00016559">
              <w:rPr>
                <w:rFonts w:asciiTheme="minorHAnsi" w:hAnsiTheme="minorHAnsi" w:cstheme="minorHAnsi"/>
                <w:color w:val="000000"/>
                <w:sz w:val="22"/>
                <w:szCs w:val="22"/>
              </w:rPr>
              <w:t>Avoir une licence en Sciences Humaines, particulièrement en Sociologie ou domaine connexe</w:t>
            </w:r>
            <w:r>
              <w:rPr>
                <w:rFonts w:asciiTheme="minorHAnsi" w:hAnsiTheme="minorHAnsi" w:cstheme="minorHAnsi"/>
                <w:color w:val="000000"/>
                <w:sz w:val="22"/>
                <w:szCs w:val="22"/>
              </w:rPr>
              <w:t>.</w:t>
            </w:r>
          </w:p>
          <w:p w:rsidR="00866EBB" w:rsidRPr="00866EBB" w:rsidRDefault="00866EBB" w:rsidP="00866EBB">
            <w:pPr>
              <w:pStyle w:val="TableText"/>
              <w:numPr>
                <w:ilvl w:val="0"/>
                <w:numId w:val="6"/>
              </w:numPr>
            </w:pPr>
            <w:r>
              <w:rPr>
                <w:rFonts w:asciiTheme="minorHAnsi" w:hAnsiTheme="minorHAnsi" w:cstheme="minorHAnsi"/>
                <w:color w:val="000000"/>
                <w:sz w:val="22"/>
                <w:szCs w:val="22"/>
              </w:rPr>
              <w:t>Un minimum de 7 ans d'expérience pertinente (c.-à-d.  le développement de la communication ou en mobilisation communautaire), avec un minimum de 3 ans dans une organisation internationale.</w:t>
            </w:r>
          </w:p>
          <w:p w:rsidR="00866EBB" w:rsidRPr="00BD001F" w:rsidRDefault="005D6E4B" w:rsidP="00866EBB">
            <w:pPr>
              <w:pStyle w:val="TableText"/>
              <w:numPr>
                <w:ilvl w:val="0"/>
                <w:numId w:val="6"/>
              </w:numPr>
            </w:pPr>
            <w:r>
              <w:rPr>
                <w:rFonts w:asciiTheme="minorHAnsi" w:hAnsiTheme="minorHAnsi" w:cstheme="minorHAnsi"/>
                <w:color w:val="000000"/>
                <w:sz w:val="22"/>
                <w:szCs w:val="22"/>
              </w:rPr>
              <w:t>Expérience managériale établie  grâce à un travail préalable en reddition de comptes, communication, développement  ou mobilisation communautaire et ayant  occupé des postes de responsabilité.</w:t>
            </w:r>
          </w:p>
          <w:p w:rsidR="00BD001F" w:rsidRPr="00F266EF" w:rsidRDefault="00BD001F" w:rsidP="00866EBB">
            <w:pPr>
              <w:pStyle w:val="TableText"/>
              <w:numPr>
                <w:ilvl w:val="0"/>
                <w:numId w:val="6"/>
              </w:numPr>
            </w:pPr>
            <w:r>
              <w:rPr>
                <w:rFonts w:asciiTheme="minorHAnsi" w:hAnsiTheme="minorHAnsi" w:cstheme="minorHAnsi"/>
                <w:color w:val="000000"/>
                <w:sz w:val="22"/>
                <w:szCs w:val="22"/>
              </w:rPr>
              <w:t>Aptitude à travailler efficacement avec les  bénéficiaires dans la communauté, le gouvernement et d'autres intervenants au niveau local.</w:t>
            </w:r>
          </w:p>
          <w:p w:rsidR="00F266EF" w:rsidRPr="00F266EF" w:rsidRDefault="00F266EF" w:rsidP="00866EBB">
            <w:pPr>
              <w:pStyle w:val="TableText"/>
              <w:numPr>
                <w:ilvl w:val="0"/>
                <w:numId w:val="6"/>
              </w:numPr>
            </w:pPr>
            <w:r w:rsidRPr="001E6D74">
              <w:rPr>
                <w:rFonts w:asciiTheme="minorHAnsi" w:hAnsiTheme="minorHAnsi" w:cstheme="minorHAnsi"/>
                <w:color w:val="000000"/>
                <w:sz w:val="22"/>
                <w:szCs w:val="22"/>
              </w:rPr>
              <w:t xml:space="preserve">Excellente </w:t>
            </w:r>
            <w:r>
              <w:rPr>
                <w:rFonts w:asciiTheme="minorHAnsi" w:hAnsiTheme="minorHAnsi" w:cstheme="minorHAnsi"/>
                <w:color w:val="000000"/>
                <w:sz w:val="22"/>
                <w:szCs w:val="22"/>
              </w:rPr>
              <w:t>compréhension des</w:t>
            </w:r>
            <w:r w:rsidRPr="001E6D74">
              <w:rPr>
                <w:rFonts w:asciiTheme="minorHAnsi" w:hAnsiTheme="minorHAnsi" w:cstheme="minorHAnsi"/>
                <w:color w:val="000000"/>
                <w:sz w:val="22"/>
                <w:szCs w:val="22"/>
              </w:rPr>
              <w:t xml:space="preserve"> communications bidirectionnelles </w:t>
            </w:r>
            <w:r>
              <w:rPr>
                <w:rFonts w:asciiTheme="minorHAnsi" w:hAnsiTheme="minorHAnsi" w:cstheme="minorHAnsi"/>
                <w:color w:val="000000"/>
                <w:sz w:val="22"/>
                <w:szCs w:val="22"/>
              </w:rPr>
              <w:t>avec les bénéficiaires et en reddition de comptes</w:t>
            </w:r>
          </w:p>
          <w:p w:rsidR="00F266EF" w:rsidRPr="00D918B4" w:rsidRDefault="00F266EF" w:rsidP="00866EBB">
            <w:pPr>
              <w:pStyle w:val="TableText"/>
              <w:numPr>
                <w:ilvl w:val="0"/>
                <w:numId w:val="6"/>
              </w:numPr>
            </w:pPr>
            <w:r>
              <w:rPr>
                <w:rFonts w:cs="Helvetica"/>
              </w:rPr>
              <w:t>Expérience de travail dans les processus de participation communautaire</w:t>
            </w:r>
          </w:p>
          <w:p w:rsidR="00D918B4" w:rsidRPr="00AA4C01" w:rsidRDefault="00012732" w:rsidP="00866EBB">
            <w:pPr>
              <w:pStyle w:val="TableText"/>
              <w:numPr>
                <w:ilvl w:val="0"/>
                <w:numId w:val="6"/>
              </w:numPr>
            </w:pPr>
            <w:r>
              <w:rPr>
                <w:rFonts w:cs="Symbol"/>
              </w:rPr>
              <w:t>Expérience en formation, facilitation des discussions de groupe, consultation des collectivités</w:t>
            </w:r>
          </w:p>
          <w:p w:rsidR="00AA4C01" w:rsidRPr="00AA4C01" w:rsidRDefault="00AA4C01" w:rsidP="00866EBB">
            <w:pPr>
              <w:pStyle w:val="TableText"/>
              <w:numPr>
                <w:ilvl w:val="0"/>
                <w:numId w:val="6"/>
              </w:numPr>
            </w:pPr>
            <w:r>
              <w:rPr>
                <w:rFonts w:asciiTheme="minorHAnsi" w:hAnsiTheme="minorHAnsi" w:cstheme="minorHAnsi"/>
                <w:color w:val="000000"/>
                <w:sz w:val="22"/>
                <w:szCs w:val="22"/>
              </w:rPr>
              <w:t>Expérience dans la  production du matériel</w:t>
            </w:r>
            <w:r w:rsidRPr="001E6D74">
              <w:rPr>
                <w:rFonts w:asciiTheme="minorHAnsi" w:hAnsiTheme="minorHAnsi" w:cstheme="minorHAnsi"/>
                <w:color w:val="000000"/>
                <w:sz w:val="22"/>
                <w:szCs w:val="22"/>
              </w:rPr>
              <w:t xml:space="preserve"> de </w:t>
            </w:r>
            <w:r>
              <w:rPr>
                <w:rFonts w:asciiTheme="minorHAnsi" w:hAnsiTheme="minorHAnsi" w:cstheme="minorHAnsi"/>
                <w:color w:val="000000"/>
                <w:sz w:val="22"/>
                <w:szCs w:val="22"/>
              </w:rPr>
              <w:t>communications telles</w:t>
            </w:r>
            <w:r w:rsidRPr="001E6D74">
              <w:rPr>
                <w:rFonts w:asciiTheme="minorHAnsi" w:hAnsiTheme="minorHAnsi" w:cstheme="minorHAnsi"/>
                <w:color w:val="000000"/>
                <w:sz w:val="22"/>
                <w:szCs w:val="22"/>
              </w:rPr>
              <w:t xml:space="preserve"> que des affiches et des brochures</w:t>
            </w:r>
          </w:p>
          <w:p w:rsidR="00AA4C01" w:rsidRPr="00D76F04" w:rsidRDefault="00AA4C01" w:rsidP="00866EBB">
            <w:pPr>
              <w:pStyle w:val="TableText"/>
              <w:numPr>
                <w:ilvl w:val="0"/>
                <w:numId w:val="6"/>
              </w:numPr>
            </w:pPr>
            <w:r w:rsidRPr="00CB4A7A">
              <w:rPr>
                <w:rFonts w:asciiTheme="minorHAnsi" w:hAnsiTheme="minorHAnsi" w:cstheme="minorHAnsi"/>
                <w:color w:val="000000"/>
                <w:sz w:val="22"/>
                <w:szCs w:val="22"/>
              </w:rPr>
              <w:t>Expérience dans les logiciels de conception y compris In</w:t>
            </w:r>
            <w:r w:rsidR="009A05BA">
              <w:rPr>
                <w:rFonts w:asciiTheme="minorHAnsi" w:hAnsiTheme="minorHAnsi" w:cstheme="minorHAnsi"/>
                <w:color w:val="000000"/>
                <w:sz w:val="22"/>
                <w:szCs w:val="22"/>
              </w:rPr>
              <w:t xml:space="preserve"> </w:t>
            </w:r>
            <w:r w:rsidRPr="00CB4A7A">
              <w:rPr>
                <w:rFonts w:asciiTheme="minorHAnsi" w:hAnsiTheme="minorHAnsi" w:cstheme="minorHAnsi"/>
                <w:color w:val="000000"/>
                <w:sz w:val="22"/>
                <w:szCs w:val="22"/>
              </w:rPr>
              <w:t>Design, Photoshop etc. e</w:t>
            </w:r>
            <w:r>
              <w:rPr>
                <w:rFonts w:asciiTheme="minorHAnsi" w:hAnsiTheme="minorHAnsi" w:cstheme="minorHAnsi"/>
                <w:color w:val="000000"/>
                <w:sz w:val="22"/>
                <w:szCs w:val="22"/>
              </w:rPr>
              <w:t>t compétents</w:t>
            </w:r>
            <w:r w:rsidRPr="00CB4A7A">
              <w:rPr>
                <w:rFonts w:asciiTheme="minorHAnsi" w:hAnsiTheme="minorHAnsi" w:cstheme="minorHAnsi"/>
                <w:color w:val="000000"/>
                <w:sz w:val="22"/>
                <w:szCs w:val="22"/>
              </w:rPr>
              <w:t xml:space="preserve"> en photographie</w:t>
            </w:r>
          </w:p>
          <w:p w:rsidR="00D76F04" w:rsidRPr="00F561F6" w:rsidRDefault="00D76F04" w:rsidP="00866EBB">
            <w:pPr>
              <w:pStyle w:val="TableText"/>
              <w:numPr>
                <w:ilvl w:val="0"/>
                <w:numId w:val="6"/>
              </w:numPr>
            </w:pPr>
            <w:r>
              <w:rPr>
                <w:rFonts w:asciiTheme="minorHAnsi" w:hAnsiTheme="minorHAnsi" w:cstheme="minorHAnsi"/>
                <w:color w:val="000000"/>
                <w:sz w:val="22"/>
                <w:szCs w:val="22"/>
              </w:rPr>
              <w:t>Rédiger un rapport de qualité  écrit, relations interpersonnelles, facilitation et aptitudes à la communication.</w:t>
            </w:r>
          </w:p>
          <w:p w:rsidR="007574E5" w:rsidRPr="00F561F6" w:rsidRDefault="007574E5" w:rsidP="007E4794">
            <w:pPr>
              <w:pStyle w:val="TableText"/>
              <w:ind w:left="720"/>
            </w:pPr>
          </w:p>
          <w:p w:rsidR="007574E5" w:rsidRPr="00F561F6" w:rsidRDefault="007574E5" w:rsidP="007E4794">
            <w:pPr>
              <w:pStyle w:val="TableText"/>
              <w:ind w:left="360"/>
            </w:pPr>
            <w:r w:rsidRPr="00F561F6">
              <w:t xml:space="preserve">Les candidats intéressés sont priés d’envoyer leur Curriculum Vitae accompagné </w:t>
            </w:r>
            <w:r w:rsidRPr="00F561F6">
              <w:rPr>
                <w:b/>
                <w:u w:val="single"/>
              </w:rPr>
              <w:t>d’une lettre de motivation précisant le lieu d’affectation</w:t>
            </w:r>
            <w:r w:rsidRPr="00F561F6">
              <w:t>, les copies des diplômes de fin d’études, certificats et attestations,  copie de la carte d’identité fiscale ou la carte électorale, l’original du certificat de bonne vie et mœurs déliv</w:t>
            </w:r>
            <w:r w:rsidR="00B61702">
              <w:t xml:space="preserve">ré par la DCPJ au plus tard le </w:t>
            </w:r>
            <w:r w:rsidR="00F15F10">
              <w:t xml:space="preserve"> 1</w:t>
            </w:r>
            <w:r w:rsidR="00F15F10" w:rsidRPr="00F15F10">
              <w:rPr>
                <w:vertAlign w:val="superscript"/>
              </w:rPr>
              <w:t>er</w:t>
            </w:r>
            <w:r w:rsidR="00F15F10">
              <w:t xml:space="preserve"> </w:t>
            </w:r>
            <w:r w:rsidR="00BB5593">
              <w:t xml:space="preserve">Juillet </w:t>
            </w:r>
            <w:r>
              <w:t>2013</w:t>
            </w:r>
            <w:r w:rsidRPr="00F561F6">
              <w:t xml:space="preserve"> à l’une des adresses suivantes :</w:t>
            </w:r>
          </w:p>
          <w:p w:rsidR="007574E5" w:rsidRPr="00F561F6" w:rsidRDefault="007574E5" w:rsidP="007E4794">
            <w:pPr>
              <w:pStyle w:val="TableText"/>
              <w:ind w:left="360"/>
              <w:rPr>
                <w:b/>
                <w:i/>
              </w:rPr>
            </w:pPr>
          </w:p>
          <w:p w:rsidR="007574E5" w:rsidRPr="009A6EBD" w:rsidRDefault="007574E5" w:rsidP="007E4794">
            <w:pPr>
              <w:tabs>
                <w:tab w:val="left" w:pos="9990"/>
              </w:tabs>
              <w:spacing w:line="276" w:lineRule="auto"/>
              <w:ind w:left="360" w:right="180" w:hanging="360"/>
              <w:jc w:val="both"/>
              <w:rPr>
                <w:noProof/>
                <w:color w:val="000000"/>
              </w:rPr>
            </w:pPr>
            <w:r>
              <w:rPr>
                <w:b/>
                <w:i/>
              </w:rPr>
              <w:t xml:space="preserve">                    </w:t>
            </w:r>
            <w:r w:rsidRPr="00B03D6A">
              <w:rPr>
                <w:rFonts w:cstheme="minorHAnsi"/>
                <w:b/>
              </w:rPr>
              <w:t xml:space="preserve"> </w:t>
            </w:r>
            <w:r w:rsidRPr="009A6EBD">
              <w:rPr>
                <w:b/>
                <w:i/>
              </w:rPr>
              <w:t>Att : Ressources Humaines /</w:t>
            </w:r>
            <w:r w:rsidRPr="009A6EBD">
              <w:t xml:space="preserve"> </w:t>
            </w:r>
            <w:r>
              <w:rPr>
                <w:b/>
                <w:color w:val="000000"/>
                <w:lang w:val="fr-CA"/>
              </w:rPr>
              <w:t>Poste Souhaité</w:t>
            </w:r>
          </w:p>
          <w:p w:rsidR="007574E5" w:rsidRPr="009A6EBD" w:rsidRDefault="007574E5" w:rsidP="007E4794">
            <w:pPr>
              <w:pStyle w:val="TableText"/>
              <w:tabs>
                <w:tab w:val="left" w:pos="9990"/>
              </w:tabs>
              <w:ind w:left="360" w:right="180" w:hanging="360"/>
              <w:jc w:val="both"/>
              <w:rPr>
                <w:b/>
                <w:i/>
              </w:rPr>
            </w:pPr>
          </w:p>
          <w:p w:rsidR="007574E5" w:rsidRPr="009A6EBD" w:rsidRDefault="007574E5" w:rsidP="007E4794">
            <w:pPr>
              <w:pStyle w:val="TableText"/>
              <w:numPr>
                <w:ilvl w:val="0"/>
                <w:numId w:val="1"/>
              </w:numPr>
              <w:tabs>
                <w:tab w:val="left" w:pos="9990"/>
              </w:tabs>
              <w:ind w:left="360" w:right="180"/>
              <w:jc w:val="center"/>
              <w:rPr>
                <w:i/>
              </w:rPr>
            </w:pPr>
            <w:r w:rsidRPr="009A6EBD">
              <w:rPr>
                <w:i/>
              </w:rPr>
              <w:t>Bureau Régional de la Croix Rouge Haïtienne 5, Rue 15 petite Guinée Cap Haïtien.</w:t>
            </w:r>
          </w:p>
          <w:p w:rsidR="007574E5" w:rsidRPr="009A6EBD" w:rsidRDefault="007574E5" w:rsidP="007E4794">
            <w:pPr>
              <w:pStyle w:val="TableText"/>
              <w:tabs>
                <w:tab w:val="left" w:pos="9990"/>
              </w:tabs>
              <w:ind w:left="360" w:right="180" w:hanging="360"/>
              <w:jc w:val="center"/>
              <w:rPr>
                <w:b/>
                <w:i/>
              </w:rPr>
            </w:pPr>
          </w:p>
          <w:p w:rsidR="007574E5" w:rsidRPr="009A6EBD" w:rsidRDefault="007574E5" w:rsidP="007E4794">
            <w:pPr>
              <w:pStyle w:val="TableText"/>
              <w:tabs>
                <w:tab w:val="left" w:pos="9990"/>
              </w:tabs>
              <w:ind w:left="360" w:right="180" w:hanging="360"/>
              <w:jc w:val="center"/>
              <w:rPr>
                <w:b/>
                <w:i/>
                <w:color w:val="000000" w:themeColor="text1"/>
                <w:szCs w:val="24"/>
              </w:rPr>
            </w:pPr>
            <w:r w:rsidRPr="009A6EBD">
              <w:rPr>
                <w:b/>
                <w:i/>
              </w:rPr>
              <w:t xml:space="preserve">2) </w:t>
            </w:r>
            <w:r w:rsidRPr="009A6EBD">
              <w:rPr>
                <w:i/>
              </w:rPr>
              <w:t xml:space="preserve">Camp de base Croix-Rouge Haïtienne, Ave Mais </w:t>
            </w:r>
            <w:r w:rsidRPr="009A6EBD">
              <w:rPr>
                <w:i/>
                <w:szCs w:val="24"/>
              </w:rPr>
              <w:t>Gâté</w:t>
            </w:r>
            <w:r w:rsidRPr="009A6EBD">
              <w:rPr>
                <w:bCs/>
                <w:i/>
                <w:color w:val="0070C0"/>
                <w:szCs w:val="24"/>
              </w:rPr>
              <w:t xml:space="preserve"> </w:t>
            </w:r>
            <w:r w:rsidRPr="009A6EBD">
              <w:rPr>
                <w:bCs/>
                <w:i/>
                <w:color w:val="000000" w:themeColor="text1"/>
                <w:szCs w:val="24"/>
              </w:rPr>
              <w:t>Route de l’Aéroport</w:t>
            </w:r>
            <w:r w:rsidRPr="009A6EBD">
              <w:rPr>
                <w:bCs/>
                <w:i/>
                <w:color w:val="000000" w:themeColor="text1"/>
                <w:szCs w:val="24"/>
                <w:lang w:val="fr-HT"/>
              </w:rPr>
              <w:t>, Port-au-Prince, Haïti HT</w:t>
            </w:r>
          </w:p>
          <w:p w:rsidR="007574E5" w:rsidRPr="009A6EBD" w:rsidRDefault="007574E5" w:rsidP="007E4794">
            <w:pPr>
              <w:pStyle w:val="TableText"/>
              <w:tabs>
                <w:tab w:val="left" w:pos="9990"/>
              </w:tabs>
              <w:ind w:left="360" w:right="180" w:hanging="360"/>
              <w:jc w:val="center"/>
              <w:rPr>
                <w:b/>
              </w:rPr>
            </w:pPr>
          </w:p>
          <w:p w:rsidR="007574E5" w:rsidRPr="009A6EBD" w:rsidRDefault="007574E5" w:rsidP="007E4794">
            <w:pPr>
              <w:pStyle w:val="TableText"/>
              <w:tabs>
                <w:tab w:val="left" w:pos="9990"/>
              </w:tabs>
              <w:ind w:left="360" w:right="180" w:hanging="360"/>
              <w:jc w:val="center"/>
              <w:rPr>
                <w:i/>
              </w:rPr>
            </w:pPr>
            <w:r w:rsidRPr="009A6EBD">
              <w:rPr>
                <w:i/>
              </w:rPr>
              <w:t>3) à l’adresse électronique suivante : ressources.humaines@croixrouge.ht</w:t>
            </w:r>
          </w:p>
          <w:p w:rsidR="007574E5" w:rsidRPr="009A6EBD" w:rsidRDefault="007574E5" w:rsidP="007E4794">
            <w:pPr>
              <w:pStyle w:val="TableText"/>
              <w:tabs>
                <w:tab w:val="left" w:pos="9990"/>
              </w:tabs>
              <w:ind w:left="360" w:right="180" w:hanging="360"/>
              <w:jc w:val="center"/>
              <w:rPr>
                <w:b/>
              </w:rPr>
            </w:pPr>
          </w:p>
          <w:p w:rsidR="007574E5" w:rsidRPr="007E13AA" w:rsidRDefault="007574E5" w:rsidP="007E4794">
            <w:pPr>
              <w:pStyle w:val="TableText"/>
              <w:tabs>
                <w:tab w:val="left" w:pos="9990"/>
              </w:tabs>
              <w:ind w:left="360" w:right="180" w:hanging="360"/>
              <w:jc w:val="center"/>
              <w:rPr>
                <w:b/>
                <w:lang w:val="fr-CA"/>
              </w:rPr>
            </w:pPr>
            <w:r>
              <w:rPr>
                <w:b/>
              </w:rPr>
              <w:t>NB :</w:t>
            </w:r>
            <w:r w:rsidRPr="003A19C7">
              <w:rPr>
                <w:b/>
              </w:rPr>
              <w:t xml:space="preserve"> Seuls les candidat(e)s sélectionné(e)s seront contactés. P</w:t>
            </w:r>
            <w:r>
              <w:rPr>
                <w:b/>
              </w:rPr>
              <w:t xml:space="preserve">riorité sera accordée aux Volontaires </w:t>
            </w:r>
            <w:r>
              <w:rPr>
                <w:b/>
                <w:lang w:val="fr-CA"/>
              </w:rPr>
              <w:t>de la Croix Rouge Haïtienne. L</w:t>
            </w:r>
            <w:r w:rsidRPr="0056540F">
              <w:rPr>
                <w:b/>
                <w:lang w:val="fr-CA"/>
              </w:rPr>
              <w:t>es candidatures fémi</w:t>
            </w:r>
            <w:r>
              <w:rPr>
                <w:b/>
                <w:lang w:val="fr-CA"/>
              </w:rPr>
              <w:t>nines sont fortement encouragées.</w:t>
            </w:r>
          </w:p>
          <w:p w:rsidR="007574E5" w:rsidRDefault="007574E5" w:rsidP="007E4794">
            <w:pPr>
              <w:spacing w:line="276" w:lineRule="auto"/>
              <w:ind w:left="360"/>
              <w:rPr>
                <w:b/>
                <w:color w:val="000000"/>
                <w:u w:val="single"/>
              </w:rPr>
            </w:pPr>
          </w:p>
          <w:p w:rsidR="007574E5" w:rsidRPr="00F561F6" w:rsidRDefault="007574E5" w:rsidP="007E4794">
            <w:pPr>
              <w:pStyle w:val="TableText"/>
              <w:ind w:left="360"/>
              <w:jc w:val="both"/>
              <w:rPr>
                <w:iCs/>
                <w:lang w:val="fr-CA"/>
              </w:rPr>
            </w:pPr>
          </w:p>
        </w:tc>
      </w:tr>
      <w:tr w:rsidR="002E5292" w:rsidRPr="00F561F6" w:rsidTr="007E4794">
        <w:trPr>
          <w:trHeight w:val="464"/>
        </w:trPr>
        <w:tc>
          <w:tcPr>
            <w:tcW w:w="11120" w:type="dxa"/>
            <w:tcBorders>
              <w:top w:val="nil"/>
              <w:left w:val="nil"/>
              <w:bottom w:val="nil"/>
              <w:right w:val="nil"/>
            </w:tcBorders>
          </w:tcPr>
          <w:p w:rsidR="002E5292" w:rsidRDefault="002E5292" w:rsidP="007E4794">
            <w:pPr>
              <w:pStyle w:val="toa"/>
              <w:tabs>
                <w:tab w:val="clear" w:pos="9000"/>
                <w:tab w:val="clear" w:pos="9360"/>
              </w:tabs>
              <w:suppressAutoHyphens w:val="0"/>
              <w:jc w:val="both"/>
              <w:rPr>
                <w:rFonts w:asciiTheme="minorHAnsi" w:hAnsiTheme="minorHAnsi" w:cstheme="minorHAnsi"/>
                <w:iCs/>
                <w:color w:val="000000"/>
                <w:szCs w:val="22"/>
                <w:lang w:val="fr-FR"/>
              </w:rPr>
            </w:pPr>
          </w:p>
        </w:tc>
      </w:tr>
    </w:tbl>
    <w:p w:rsidR="007574E5" w:rsidRPr="009609B7" w:rsidRDefault="007574E5" w:rsidP="007574E5">
      <w:pPr>
        <w:spacing w:line="276" w:lineRule="auto"/>
        <w:jc w:val="both"/>
        <w:rPr>
          <w:rFonts w:ascii="Garamond" w:hAnsi="Garamond"/>
        </w:rPr>
      </w:pPr>
    </w:p>
    <w:p w:rsidR="007574E5" w:rsidRDefault="007574E5" w:rsidP="007574E5"/>
    <w:p w:rsidR="007574E5" w:rsidRDefault="007574E5" w:rsidP="007574E5"/>
    <w:p w:rsidR="007574E5" w:rsidRDefault="007574E5" w:rsidP="007574E5"/>
    <w:p w:rsidR="007574E5" w:rsidRDefault="007574E5" w:rsidP="007574E5"/>
    <w:p w:rsidR="007574E5" w:rsidRDefault="007574E5" w:rsidP="007574E5"/>
    <w:p w:rsidR="007574E5" w:rsidRDefault="007574E5" w:rsidP="007574E5"/>
    <w:p w:rsidR="007574E5" w:rsidRDefault="007574E5" w:rsidP="007574E5"/>
    <w:p w:rsidR="007574E5" w:rsidRDefault="007574E5" w:rsidP="007574E5"/>
    <w:p w:rsidR="007574E5" w:rsidRDefault="007574E5" w:rsidP="007574E5"/>
    <w:p w:rsidR="007574E5" w:rsidRDefault="007574E5" w:rsidP="007574E5"/>
    <w:p w:rsidR="007574E5" w:rsidRPr="00B90BA1" w:rsidRDefault="007574E5" w:rsidP="007574E5"/>
    <w:p w:rsidR="00FB4E50" w:rsidRDefault="00FB4E50"/>
    <w:sectPr w:rsidR="00FB4E50" w:rsidSect="00254B0B">
      <w:footerReference w:type="default" r:id="rId9"/>
      <w:pgSz w:w="12240" w:h="15840"/>
      <w:pgMar w:top="720" w:right="900" w:bottom="1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A4" w:rsidRDefault="004A1CA4" w:rsidP="001B6AEE">
      <w:r>
        <w:separator/>
      </w:r>
    </w:p>
  </w:endnote>
  <w:endnote w:type="continuationSeparator" w:id="0">
    <w:p w:rsidR="004A1CA4" w:rsidRDefault="004A1CA4" w:rsidP="001B6A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w:altName w:val="MS Mincho"/>
    <w:panose1 w:val="00000000000000000000"/>
    <w:charset w:val="80"/>
    <w:family w:val="roman"/>
    <w:notTrueType/>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E167A9">
    <w:pPr>
      <w:pStyle w:val="Footer"/>
    </w:pPr>
    <w:r w:rsidRPr="00E167A9">
      <w:rPr>
        <w:noProof/>
        <w:lang w:eastAsia="fr-FR"/>
      </w:rPr>
      <w:pict>
        <v:group id="Group 7" o:spid="_x0000_s1025" style="position:absolute;margin-left:18.4pt;margin-top:744pt;width:35.65pt;height:23.85pt;rotation:90;z-index:251657216;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E167A9">
      <w:rPr>
        <w:noProof/>
        <w:lang w:eastAsia="fr-FR"/>
      </w:rPr>
      <w:pict>
        <v:group id="Group 3" o:spid="_x0000_s1029" style="position:absolute;margin-left:18.4pt;margin-top:744pt;width:35.65pt;height:23.85pt;rotation:90;z-index:25165824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A4" w:rsidRDefault="004A1CA4" w:rsidP="001B6AEE">
      <w:r>
        <w:separator/>
      </w:r>
    </w:p>
  </w:footnote>
  <w:footnote w:type="continuationSeparator" w:id="0">
    <w:p w:rsidR="004A1CA4" w:rsidRDefault="004A1CA4" w:rsidP="001B6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78A4"/>
    <w:multiLevelType w:val="hybridMultilevel"/>
    <w:tmpl w:val="F1F27054"/>
    <w:lvl w:ilvl="0" w:tplc="D0D87ECE">
      <w:numFmt w:val="bullet"/>
      <w:lvlText w:val="-"/>
      <w:lvlJc w:val="left"/>
      <w:pPr>
        <w:ind w:left="720" w:hanging="360"/>
      </w:pPr>
      <w:rPr>
        <w:rFonts w:ascii="Calibri" w:eastAsia="Calibri" w:hAnsi="Calibri" w:cs="Calibri"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2931CC"/>
    <w:multiLevelType w:val="hybridMultilevel"/>
    <w:tmpl w:val="2E98DA5C"/>
    <w:lvl w:ilvl="0" w:tplc="95BAA70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45813B3D"/>
    <w:multiLevelType w:val="hybridMultilevel"/>
    <w:tmpl w:val="E3D024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1C558C"/>
    <w:multiLevelType w:val="hybridMultilevel"/>
    <w:tmpl w:val="3B9EA8A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F17262"/>
    <w:multiLevelType w:val="hybridMultilevel"/>
    <w:tmpl w:val="AE380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106489"/>
    <w:multiLevelType w:val="hybridMultilevel"/>
    <w:tmpl w:val="4CA022B8"/>
    <w:lvl w:ilvl="0" w:tplc="0409000B">
      <w:start w:val="1"/>
      <w:numFmt w:val="bullet"/>
      <w:lvlText w:val=""/>
      <w:lvlJc w:val="left"/>
      <w:pPr>
        <w:ind w:left="720" w:hanging="360"/>
      </w:pPr>
      <w:rPr>
        <w:rFonts w:ascii="Wingdings" w:hAnsi="Wingding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A3462C"/>
    <w:multiLevelType w:val="hybridMultilevel"/>
    <w:tmpl w:val="F1FC002E"/>
    <w:lvl w:ilvl="0" w:tplc="0409000B">
      <w:start w:val="1"/>
      <w:numFmt w:val="bullet"/>
      <w:lvlText w:val=""/>
      <w:lvlJc w:val="left"/>
      <w:pPr>
        <w:ind w:left="1123" w:hanging="360"/>
      </w:pPr>
      <w:rPr>
        <w:rFonts w:ascii="Wingdings" w:hAnsi="Wingdings"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8">
    <w:nsid w:val="795E4E1E"/>
    <w:multiLevelType w:val="hybridMultilevel"/>
    <w:tmpl w:val="7898BEEE"/>
    <w:lvl w:ilvl="0" w:tplc="0409000B">
      <w:start w:val="1"/>
      <w:numFmt w:val="bullet"/>
      <w:lvlText w:val=""/>
      <w:lvlJc w:val="left"/>
      <w:pPr>
        <w:ind w:left="720" w:hanging="360"/>
      </w:pPr>
      <w:rPr>
        <w:rFonts w:ascii="Wingdings" w:hAnsi="Wingdings" w:hint="default"/>
      </w:rPr>
    </w:lvl>
    <w:lvl w:ilvl="1" w:tplc="5F7ED3BE">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0"/>
  </w:num>
  <w:num w:numId="6">
    <w:abstractNumId w:val="8"/>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574E5"/>
    <w:rsid w:val="00012732"/>
    <w:rsid w:val="000B5CC6"/>
    <w:rsid w:val="001B6AEE"/>
    <w:rsid w:val="001F5D85"/>
    <w:rsid w:val="002E5292"/>
    <w:rsid w:val="003929B7"/>
    <w:rsid w:val="00434F4E"/>
    <w:rsid w:val="004A1CA4"/>
    <w:rsid w:val="005272ED"/>
    <w:rsid w:val="005C61D6"/>
    <w:rsid w:val="005D6E4B"/>
    <w:rsid w:val="007574E5"/>
    <w:rsid w:val="00866EBB"/>
    <w:rsid w:val="009A05BA"/>
    <w:rsid w:val="009B6378"/>
    <w:rsid w:val="00AA4C01"/>
    <w:rsid w:val="00AC7F95"/>
    <w:rsid w:val="00B61702"/>
    <w:rsid w:val="00BB5593"/>
    <w:rsid w:val="00BD001F"/>
    <w:rsid w:val="00C626EE"/>
    <w:rsid w:val="00D0367F"/>
    <w:rsid w:val="00D76F04"/>
    <w:rsid w:val="00D918B4"/>
    <w:rsid w:val="00E167A9"/>
    <w:rsid w:val="00EC728F"/>
    <w:rsid w:val="00F15F10"/>
    <w:rsid w:val="00F266EF"/>
    <w:rsid w:val="00F570C1"/>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E5"/>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4E5"/>
    <w:pPr>
      <w:ind w:left="720"/>
      <w:contextualSpacing/>
    </w:pPr>
  </w:style>
  <w:style w:type="paragraph" w:styleId="Footer">
    <w:name w:val="footer"/>
    <w:basedOn w:val="Normal"/>
    <w:link w:val="FooterChar"/>
    <w:uiPriority w:val="99"/>
    <w:unhideWhenUsed/>
    <w:rsid w:val="007574E5"/>
    <w:pPr>
      <w:tabs>
        <w:tab w:val="center" w:pos="4680"/>
        <w:tab w:val="right" w:pos="9360"/>
      </w:tabs>
    </w:pPr>
  </w:style>
  <w:style w:type="character" w:customStyle="1" w:styleId="FooterChar">
    <w:name w:val="Footer Char"/>
    <w:basedOn w:val="DefaultParagraphFont"/>
    <w:link w:val="Footer"/>
    <w:uiPriority w:val="99"/>
    <w:rsid w:val="007574E5"/>
    <w:rPr>
      <w:rFonts w:ascii="Times New Roman" w:eastAsia="Times New Roman" w:hAnsi="Times New Roman" w:cs="Times New Roman"/>
      <w:sz w:val="24"/>
      <w:szCs w:val="24"/>
      <w:lang w:val="fr-FR"/>
    </w:rPr>
  </w:style>
  <w:style w:type="paragraph" w:customStyle="1" w:styleId="TableText">
    <w:name w:val="Table Text"/>
    <w:basedOn w:val="Normal"/>
    <w:rsid w:val="007574E5"/>
    <w:pPr>
      <w:overflowPunct w:val="0"/>
      <w:autoSpaceDE w:val="0"/>
      <w:autoSpaceDN w:val="0"/>
      <w:adjustRightInd w:val="0"/>
      <w:textAlignment w:val="baseline"/>
    </w:pPr>
    <w:rPr>
      <w:szCs w:val="20"/>
    </w:rPr>
  </w:style>
  <w:style w:type="paragraph" w:customStyle="1" w:styleId="toa">
    <w:name w:val="toa"/>
    <w:basedOn w:val="Normal"/>
    <w:rsid w:val="007574E5"/>
    <w:pPr>
      <w:tabs>
        <w:tab w:val="left" w:pos="9000"/>
        <w:tab w:val="right" w:pos="9360"/>
      </w:tabs>
      <w:suppressAutoHyphens/>
    </w:pPr>
    <w:rPr>
      <w:spacing w:val="-3"/>
      <w:szCs w:val="20"/>
      <w:lang w:val="en-US"/>
    </w:rPr>
  </w:style>
  <w:style w:type="paragraph" w:styleId="BalloonText">
    <w:name w:val="Balloon Text"/>
    <w:basedOn w:val="Normal"/>
    <w:link w:val="BalloonTextChar"/>
    <w:uiPriority w:val="99"/>
    <w:semiHidden/>
    <w:unhideWhenUsed/>
    <w:rsid w:val="00F570C1"/>
    <w:rPr>
      <w:rFonts w:ascii="Tahoma" w:eastAsiaTheme="minorHAnsi" w:hAnsi="Tahoma" w:cs="Tahoma"/>
      <w:sz w:val="16"/>
      <w:szCs w:val="16"/>
      <w:lang w:val="fr-HT"/>
    </w:rPr>
  </w:style>
  <w:style w:type="character" w:customStyle="1" w:styleId="BalloonTextChar">
    <w:name w:val="Balloon Text Char"/>
    <w:basedOn w:val="DefaultParagraphFont"/>
    <w:link w:val="BalloonText"/>
    <w:uiPriority w:val="99"/>
    <w:semiHidden/>
    <w:rsid w:val="00F570C1"/>
    <w:rPr>
      <w:rFonts w:ascii="Tahoma" w:hAnsi="Tahoma" w:cs="Tahoma"/>
      <w:sz w:val="16"/>
      <w:szCs w:val="16"/>
      <w:lang w:val="fr-HT"/>
    </w:rPr>
  </w:style>
  <w:style w:type="paragraph" w:customStyle="1" w:styleId="Pa17">
    <w:name w:val="Pa17"/>
    <w:basedOn w:val="Normal"/>
    <w:next w:val="Normal"/>
    <w:uiPriority w:val="99"/>
    <w:rsid w:val="00F570C1"/>
    <w:pPr>
      <w:autoSpaceDE w:val="0"/>
      <w:autoSpaceDN w:val="0"/>
      <w:adjustRightInd w:val="0"/>
      <w:spacing w:line="201" w:lineRule="atLeast"/>
    </w:pPr>
    <w:rPr>
      <w:rFonts w:ascii="Minion" w:eastAsia="Minion" w:hAnsi="Calibri" w:cs="Mangal"/>
      <w:lang w:val="fr-HT"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FC59C-3A71-428C-8C08-6B16A79B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dcterms:created xsi:type="dcterms:W3CDTF">2013-06-24T20:45:00Z</dcterms:created>
  <dcterms:modified xsi:type="dcterms:W3CDTF">2013-06-24T20:45:00Z</dcterms:modified>
</cp:coreProperties>
</file>