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E8BD" w14:textId="77777777" w:rsidR="00BD2F58" w:rsidRPr="004A4630" w:rsidRDefault="00BD2F58" w:rsidP="00BD2F58">
      <w:pPr>
        <w:widowControl w:val="0"/>
        <w:autoSpaceDE w:val="0"/>
        <w:autoSpaceDN w:val="0"/>
        <w:adjustRightInd w:val="0"/>
        <w:jc w:val="center"/>
        <w:rPr>
          <w:rFonts w:asciiTheme="minorHAnsi" w:eastAsiaTheme="minorEastAsia" w:hAnsiTheme="minorHAnsi" w:cstheme="minorHAnsi"/>
          <w:b/>
          <w:bCs/>
          <w:color w:val="000000"/>
          <w:szCs w:val="28"/>
          <w:lang w:eastAsia="zh-CN"/>
        </w:rPr>
      </w:pPr>
      <w:r>
        <w:rPr>
          <w:rFonts w:asciiTheme="minorHAnsi" w:eastAsiaTheme="minorEastAsia" w:hAnsiTheme="minorHAnsi" w:cstheme="minorHAnsi"/>
          <w:b/>
          <w:bCs/>
          <w:color w:val="000000"/>
          <w:szCs w:val="28"/>
          <w:lang w:eastAsia="zh-CN"/>
        </w:rPr>
        <w:t xml:space="preserve">                                                 </w:t>
      </w:r>
      <w:r w:rsidRPr="004A4630">
        <w:rPr>
          <w:rFonts w:asciiTheme="minorHAnsi" w:eastAsiaTheme="minorEastAsia" w:hAnsiTheme="minorHAnsi" w:cstheme="minorHAnsi"/>
          <w:b/>
          <w:bCs/>
          <w:color w:val="000000"/>
          <w:szCs w:val="28"/>
          <w:lang w:eastAsia="zh-CN"/>
        </w:rPr>
        <w:t>Termes de Références</w:t>
      </w:r>
    </w:p>
    <w:p w14:paraId="21AF8DFA" w14:textId="77777777" w:rsidR="00BD2F58" w:rsidRPr="001B67E3" w:rsidRDefault="00BD2F58" w:rsidP="00BD2F58">
      <w:pPr>
        <w:widowControl w:val="0"/>
        <w:autoSpaceDE w:val="0"/>
        <w:autoSpaceDN w:val="0"/>
        <w:adjustRightInd w:val="0"/>
        <w:spacing w:after="120"/>
        <w:jc w:val="center"/>
        <w:rPr>
          <w:rFonts w:eastAsiaTheme="minorEastAsia"/>
          <w:b/>
          <w:bCs/>
          <w:color w:val="000000"/>
          <w:sz w:val="28"/>
          <w:szCs w:val="28"/>
          <w:lang w:eastAsia="zh-CN"/>
        </w:rPr>
      </w:pPr>
      <w:r>
        <w:rPr>
          <w:rFonts w:eastAsiaTheme="minorEastAsia"/>
          <w:b/>
          <w:bCs/>
          <w:color w:val="000000"/>
          <w:sz w:val="28"/>
          <w:szCs w:val="28"/>
          <w:lang w:eastAsia="zh-CN"/>
        </w:rPr>
        <w:t>Formation EDAB</w:t>
      </w:r>
    </w:p>
    <w:p w14:paraId="66E67846" w14:textId="77777777" w:rsidR="00BD2F58" w:rsidRPr="004A4630" w:rsidRDefault="00BD2F58" w:rsidP="00BD2F58">
      <w:pPr>
        <w:widowControl w:val="0"/>
        <w:autoSpaceDE w:val="0"/>
        <w:autoSpaceDN w:val="0"/>
        <w:adjustRightInd w:val="0"/>
        <w:jc w:val="center"/>
        <w:rPr>
          <w:rFonts w:eastAsiaTheme="minorEastAsia"/>
          <w:bCs/>
          <w:color w:val="000000"/>
          <w:szCs w:val="28"/>
          <w:u w:val="single"/>
          <w:lang w:eastAsia="zh-CN"/>
        </w:rPr>
      </w:pPr>
      <w:r w:rsidRPr="004A4630">
        <w:rPr>
          <w:rFonts w:eastAsiaTheme="minorEastAsia"/>
          <w:bCs/>
          <w:color w:val="000000"/>
          <w:szCs w:val="28"/>
          <w:u w:val="single"/>
          <w:lang w:eastAsia="zh-CN"/>
        </w:rPr>
        <w:t>Prévue du 04 au 06 Avril 2022</w:t>
      </w:r>
    </w:p>
    <w:p w14:paraId="32A10812" w14:textId="77777777" w:rsidR="00BD2F58" w:rsidRPr="00DD2467" w:rsidRDefault="00BD2F58" w:rsidP="00BD2F58">
      <w:pPr>
        <w:widowControl w:val="0"/>
        <w:autoSpaceDE w:val="0"/>
        <w:autoSpaceDN w:val="0"/>
        <w:adjustRightInd w:val="0"/>
        <w:jc w:val="center"/>
        <w:rPr>
          <w:rFonts w:eastAsiaTheme="minorEastAsia"/>
          <w:b/>
          <w:bCs/>
          <w:color w:val="000000"/>
          <w:sz w:val="22"/>
          <w:szCs w:val="22"/>
          <w:lang w:eastAsia="zh-CN"/>
        </w:rPr>
      </w:pPr>
    </w:p>
    <w:p w14:paraId="66BF70EE" w14:textId="77777777" w:rsidR="00BD2F58" w:rsidRPr="00DD2467" w:rsidRDefault="00BD2F58" w:rsidP="00BD2F58">
      <w:pPr>
        <w:widowControl w:val="0"/>
        <w:autoSpaceDE w:val="0"/>
        <w:autoSpaceDN w:val="0"/>
        <w:adjustRightInd w:val="0"/>
        <w:spacing w:line="360" w:lineRule="auto"/>
        <w:jc w:val="both"/>
        <w:rPr>
          <w:rFonts w:eastAsiaTheme="minorEastAsia"/>
          <w:b/>
          <w:bCs/>
          <w:color w:val="000000"/>
          <w:sz w:val="22"/>
          <w:szCs w:val="22"/>
          <w:u w:val="single"/>
          <w:lang w:eastAsia="zh-CN"/>
        </w:rPr>
      </w:pPr>
      <w:r w:rsidRPr="00DD2467">
        <w:rPr>
          <w:rFonts w:eastAsiaTheme="minorEastAsia"/>
          <w:b/>
          <w:bCs/>
          <w:color w:val="000000"/>
          <w:sz w:val="22"/>
          <w:szCs w:val="22"/>
          <w:lang w:eastAsia="zh-CN"/>
        </w:rPr>
        <w:t xml:space="preserve">I-. </w:t>
      </w:r>
      <w:r w:rsidRPr="00DD2467">
        <w:rPr>
          <w:rFonts w:eastAsiaTheme="minorEastAsia"/>
          <w:b/>
          <w:bCs/>
          <w:color w:val="000000"/>
          <w:sz w:val="22"/>
          <w:szCs w:val="22"/>
          <w:u w:val="single"/>
          <w:lang w:eastAsia="zh-CN"/>
        </w:rPr>
        <w:t>Contexte</w:t>
      </w:r>
    </w:p>
    <w:p w14:paraId="595C44DC" w14:textId="77777777" w:rsidR="00BD2F58" w:rsidRPr="00DD2467" w:rsidRDefault="00BD2F58" w:rsidP="00BD2F58">
      <w:pPr>
        <w:spacing w:line="360" w:lineRule="auto"/>
        <w:jc w:val="both"/>
        <w:rPr>
          <w:rFonts w:eastAsiaTheme="minorEastAsia"/>
          <w:color w:val="FF0000"/>
          <w:sz w:val="22"/>
          <w:szCs w:val="22"/>
          <w:lang w:eastAsia="zh-CN"/>
        </w:rPr>
      </w:pPr>
      <w:r w:rsidRPr="00DD2467">
        <w:rPr>
          <w:rFonts w:eastAsiaTheme="minorEastAsia"/>
          <w:sz w:val="22"/>
          <w:szCs w:val="22"/>
          <w:lang w:eastAsia="zh-CN"/>
        </w:rPr>
        <w:t>Les données collectées par le réseau plate-forme sismique Haïti relèvent que 685 petits séismes sont enregistrés durant la période du 1</w:t>
      </w:r>
      <w:r w:rsidRPr="00DD2467">
        <w:rPr>
          <w:rFonts w:eastAsiaTheme="minorEastAsia"/>
          <w:sz w:val="22"/>
          <w:szCs w:val="22"/>
          <w:vertAlign w:val="superscript"/>
          <w:lang w:eastAsia="zh-CN"/>
        </w:rPr>
        <w:t>e</w:t>
      </w:r>
      <w:r w:rsidRPr="00DD2467">
        <w:rPr>
          <w:rFonts w:eastAsiaTheme="minorEastAsia"/>
          <w:sz w:val="22"/>
          <w:szCs w:val="22"/>
          <w:lang w:eastAsia="zh-CN"/>
        </w:rPr>
        <w:t xml:space="preserve"> janvier au 30 septembre 2020. Il s’agit des informations supplémentaires pour montrer qu</w:t>
      </w:r>
      <w:r w:rsidR="00DD038A">
        <w:rPr>
          <w:rFonts w:eastAsiaTheme="minorEastAsia"/>
          <w:sz w:val="22"/>
          <w:szCs w:val="22"/>
          <w:lang w:eastAsia="zh-CN"/>
        </w:rPr>
        <w:t>’au jour le jour qu</w:t>
      </w:r>
      <w:r w:rsidRPr="00DD2467">
        <w:rPr>
          <w:rFonts w:eastAsiaTheme="minorEastAsia"/>
          <w:sz w:val="22"/>
          <w:szCs w:val="22"/>
          <w:lang w:eastAsia="zh-CN"/>
        </w:rPr>
        <w:t>’Haïti est particulièrement</w:t>
      </w:r>
      <w:r w:rsidR="00DD038A">
        <w:rPr>
          <w:rFonts w:eastAsiaTheme="minorEastAsia"/>
          <w:sz w:val="22"/>
          <w:szCs w:val="22"/>
          <w:lang w:eastAsia="zh-CN"/>
        </w:rPr>
        <w:t xml:space="preserve"> plus</w:t>
      </w:r>
      <w:r w:rsidRPr="00DD2467">
        <w:rPr>
          <w:rFonts w:eastAsiaTheme="minorEastAsia"/>
          <w:sz w:val="22"/>
          <w:szCs w:val="22"/>
          <w:lang w:eastAsia="zh-CN"/>
        </w:rPr>
        <w:t xml:space="preserve"> vulnérable non seulement aux ouragans en raison de sa localisation dans la ceinture des cyclones de l'Atlantique Nord, mais elle se trouve également dans une zone sismiquement active. En effet, la période cyclonique qui  débute au mois de Juin pour terminer au mois de Novembre est une période assez redoutée par la population haïtienne. A cet effet, Plusieurs villes du pays, spécialem</w:t>
      </w:r>
      <w:r w:rsidR="00DD038A">
        <w:rPr>
          <w:rFonts w:eastAsiaTheme="minorEastAsia"/>
          <w:sz w:val="22"/>
          <w:szCs w:val="22"/>
          <w:lang w:eastAsia="zh-CN"/>
        </w:rPr>
        <w:t>ent celles de la région du Nord-</w:t>
      </w:r>
      <w:r w:rsidRPr="00DD2467">
        <w:rPr>
          <w:rFonts w:eastAsiaTheme="minorEastAsia"/>
          <w:sz w:val="22"/>
          <w:szCs w:val="22"/>
          <w:lang w:eastAsia="zh-CN"/>
        </w:rPr>
        <w:t>Ouest</w:t>
      </w:r>
      <w:r w:rsidRPr="00DD2467">
        <w:rPr>
          <w:rFonts w:eastAsiaTheme="minorEastAsia"/>
          <w:sz w:val="22"/>
          <w:szCs w:val="22"/>
          <w:vertAlign w:val="superscript"/>
          <w:lang w:eastAsia="zh-CN"/>
        </w:rPr>
        <w:footnoteReference w:id="1"/>
      </w:r>
      <w:r w:rsidRPr="00DD2467">
        <w:rPr>
          <w:rFonts w:eastAsiaTheme="minorEastAsia"/>
          <w:sz w:val="22"/>
          <w:szCs w:val="22"/>
          <w:lang w:eastAsia="zh-CN"/>
        </w:rPr>
        <w:t xml:space="preserve">, ont été à plusieurs reprises touchées  par des cyclones ou ouragans touchant au cours de ces dernières années. L’ouragan Matthew en Octobre 2016, entre autres, en est l’exemple le plus récent. </w:t>
      </w:r>
    </w:p>
    <w:p w14:paraId="43CA8310" w14:textId="77777777" w:rsidR="00BD2F58" w:rsidRPr="00DD2467" w:rsidRDefault="00BD2F58" w:rsidP="00BD2F58">
      <w:pPr>
        <w:spacing w:line="360" w:lineRule="auto"/>
        <w:jc w:val="both"/>
        <w:rPr>
          <w:rFonts w:eastAsiaTheme="minorEastAsia"/>
          <w:bCs/>
          <w:sz w:val="22"/>
          <w:szCs w:val="22"/>
          <w:lang w:eastAsia="zh-CN"/>
        </w:rPr>
      </w:pPr>
    </w:p>
    <w:p w14:paraId="4B12E02B" w14:textId="77777777" w:rsidR="00BD2F58" w:rsidRPr="00DD2467" w:rsidRDefault="00BD2F58" w:rsidP="00BD2F58">
      <w:pPr>
        <w:widowControl w:val="0"/>
        <w:tabs>
          <w:tab w:val="left" w:pos="220"/>
          <w:tab w:val="left" w:pos="720"/>
        </w:tabs>
        <w:autoSpaceDE w:val="0"/>
        <w:autoSpaceDN w:val="0"/>
        <w:adjustRightInd w:val="0"/>
        <w:spacing w:after="240" w:line="360" w:lineRule="auto"/>
        <w:jc w:val="both"/>
        <w:rPr>
          <w:rFonts w:eastAsiaTheme="minorEastAsia"/>
          <w:color w:val="000000"/>
          <w:sz w:val="22"/>
          <w:szCs w:val="22"/>
          <w:lang w:eastAsia="zh-CN"/>
        </w:rPr>
      </w:pPr>
      <w:r w:rsidRPr="00DD2467">
        <w:rPr>
          <w:rFonts w:eastAsiaTheme="minorEastAsia"/>
          <w:bCs/>
          <w:sz w:val="22"/>
          <w:szCs w:val="22"/>
          <w:lang w:eastAsia="zh-CN"/>
        </w:rPr>
        <w:t>C’est fort de tout cela que le projet ‘</w:t>
      </w:r>
      <w:r w:rsidRPr="00DD2467">
        <w:rPr>
          <w:rFonts w:eastAsiaTheme="minorEastAsia"/>
          <w:b/>
          <w:bCs/>
          <w:sz w:val="22"/>
          <w:szCs w:val="22"/>
          <w:lang w:eastAsia="zh-CN"/>
        </w:rPr>
        <w:t>Renforcer la</w:t>
      </w:r>
      <w:r w:rsidRPr="00DD2467">
        <w:rPr>
          <w:rFonts w:eastAsiaTheme="minorEastAsia"/>
          <w:bCs/>
          <w:sz w:val="22"/>
          <w:szCs w:val="22"/>
          <w:lang w:eastAsia="zh-CN"/>
        </w:rPr>
        <w:t xml:space="preserve"> </w:t>
      </w:r>
      <w:r w:rsidRPr="00DD2467">
        <w:rPr>
          <w:rFonts w:eastAsiaTheme="minorEastAsia"/>
          <w:b/>
          <w:bCs/>
          <w:sz w:val="22"/>
          <w:szCs w:val="22"/>
          <w:lang w:eastAsia="zh-CN"/>
        </w:rPr>
        <w:t>P</w:t>
      </w:r>
      <w:r w:rsidRPr="00DD2467">
        <w:rPr>
          <w:rFonts w:eastAsiaTheme="minorEastAsia"/>
          <w:b/>
          <w:sz w:val="22"/>
          <w:szCs w:val="22"/>
          <w:lang w:eastAsia="zh-CN"/>
        </w:rPr>
        <w:t xml:space="preserve">réparation pour Répondre Efficacement aux catastrophes en </w:t>
      </w:r>
      <w:r w:rsidR="00DD038A" w:rsidRPr="00DD2467">
        <w:rPr>
          <w:rFonts w:eastAsiaTheme="minorEastAsia"/>
          <w:b/>
          <w:sz w:val="22"/>
          <w:szCs w:val="22"/>
          <w:lang w:eastAsia="zh-CN"/>
        </w:rPr>
        <w:t>Haïti</w:t>
      </w:r>
      <w:r w:rsidRPr="00DD2467">
        <w:rPr>
          <w:rFonts w:eastAsiaTheme="minorEastAsia"/>
          <w:b/>
          <w:sz w:val="22"/>
          <w:szCs w:val="22"/>
          <w:lang w:eastAsia="zh-CN"/>
        </w:rPr>
        <w:t>’’</w:t>
      </w:r>
      <w:r w:rsidRPr="00DD2467">
        <w:rPr>
          <w:rFonts w:eastAsiaTheme="minorEastAsia"/>
          <w:b/>
          <w:bCs/>
          <w:sz w:val="22"/>
          <w:szCs w:val="22"/>
          <w:lang w:eastAsia="zh-CN"/>
        </w:rPr>
        <w:t>,</w:t>
      </w:r>
      <w:r w:rsidRPr="00DD2467">
        <w:rPr>
          <w:rFonts w:eastAsiaTheme="minorEastAsia"/>
          <w:bCs/>
          <w:sz w:val="22"/>
          <w:szCs w:val="22"/>
          <w:lang w:eastAsia="zh-CN"/>
        </w:rPr>
        <w:t xml:space="preserve"> est mis en œuvre avec le support financier de USAID/OFDA en vue d’appuyer la Croix-Rouge Haïtienne pour l’amélioration de la capacité de son personnel et de ses volontaires  pour une meilleure planification décentralisée. Le projet mettra en œuvre un ensemble d'activités de renforcement de capacités inter-reliées en partenariat avec deux institutions clés du Système National de Gestion des Risques  et Désastres (SNGRD)  en Haïti - La Croix-Rouge Haïtienne (CRH) et la Direction de la Protection Civile (DPC). Les interventions avec la CRH et la DPC se concentreront  sur le renforcement de capacités au niveau départemental et communal, tout en favorisant l'intégration avec les systèmes nationaux. En ce sens, le projet prévoit de réaliser, une session de formation en EDAB dédiée aux volontaires et staff de la Société Nationale de la Croix Rouge Haïtienne de la structure SSAD au niveau de la branche régionale </w:t>
      </w:r>
      <w:proofErr w:type="spellStart"/>
      <w:r w:rsidRPr="00DD2467">
        <w:rPr>
          <w:rFonts w:eastAsiaTheme="minorEastAsia"/>
          <w:bCs/>
          <w:sz w:val="22"/>
          <w:szCs w:val="22"/>
          <w:lang w:eastAsia="zh-CN"/>
        </w:rPr>
        <w:t>Nord’Ouest</w:t>
      </w:r>
      <w:proofErr w:type="spellEnd"/>
      <w:r w:rsidRPr="00DD2467">
        <w:rPr>
          <w:rFonts w:eastAsiaTheme="minorEastAsia"/>
          <w:bCs/>
          <w:sz w:val="22"/>
          <w:szCs w:val="22"/>
          <w:lang w:eastAsia="zh-CN"/>
        </w:rPr>
        <w:t xml:space="preserve">. Cette formation s’inscrit  dans une perspective de renforcement institutionnel d’une part, et d’autre part, dans le processus de planification et de préparation globale. La session  sera bien planifiée et couvrira   des questions d'égalité des sexes et de diversité. </w:t>
      </w:r>
    </w:p>
    <w:p w14:paraId="2E2EA5EB" w14:textId="77777777" w:rsidR="00BD2F58" w:rsidRPr="00DD2467" w:rsidRDefault="00BD2F58" w:rsidP="00BD2F58">
      <w:pPr>
        <w:jc w:val="both"/>
        <w:rPr>
          <w:sz w:val="22"/>
          <w:szCs w:val="22"/>
        </w:rPr>
      </w:pPr>
    </w:p>
    <w:p w14:paraId="4E9FE91C" w14:textId="77777777" w:rsidR="00BD2F58" w:rsidRPr="00DD2467" w:rsidRDefault="00BD2F58" w:rsidP="00BD2F58">
      <w:pPr>
        <w:pStyle w:val="Heading2"/>
        <w:rPr>
          <w:sz w:val="22"/>
          <w:szCs w:val="22"/>
        </w:rPr>
      </w:pPr>
      <w:r w:rsidRPr="00DD2467">
        <w:rPr>
          <w:sz w:val="22"/>
          <w:szCs w:val="22"/>
        </w:rPr>
        <w:t xml:space="preserve">II-. BUT ET OBJECTIFS DE LA FORMATION  </w:t>
      </w:r>
    </w:p>
    <w:p w14:paraId="67BEAE9C" w14:textId="77777777" w:rsidR="00BD2F58" w:rsidRPr="00DD2467" w:rsidRDefault="00BD2F58" w:rsidP="00BD2F58">
      <w:pPr>
        <w:rPr>
          <w:sz w:val="22"/>
          <w:szCs w:val="22"/>
        </w:rPr>
      </w:pPr>
    </w:p>
    <w:p w14:paraId="193D95E7" w14:textId="77777777" w:rsidR="00BD2F58" w:rsidRPr="00DD2467" w:rsidRDefault="00BD2F58" w:rsidP="00BD2F58">
      <w:pPr>
        <w:jc w:val="both"/>
        <w:rPr>
          <w:sz w:val="22"/>
          <w:szCs w:val="22"/>
        </w:rPr>
      </w:pPr>
      <w:r w:rsidRPr="00DD2467">
        <w:rPr>
          <w:sz w:val="22"/>
          <w:szCs w:val="22"/>
        </w:rPr>
        <w:t>Le but de cette formation est de fournir aux volontaires de la CRH, membres de la SSAD, les connaissances fondamentales sur l’évaluation des dégâts et l’analyse des besoins (EDAB), en vue de leur permettre de jouer efficacement leur rôle auprès des acteurs étatiques en cas de situations d’urgence.</w:t>
      </w:r>
    </w:p>
    <w:p w14:paraId="6AAC82BA" w14:textId="77777777" w:rsidR="00BD2F58" w:rsidRPr="00DD2467" w:rsidRDefault="00BD2F58" w:rsidP="00BD2F58">
      <w:pPr>
        <w:jc w:val="both"/>
        <w:rPr>
          <w:sz w:val="22"/>
          <w:szCs w:val="22"/>
        </w:rPr>
      </w:pPr>
    </w:p>
    <w:p w14:paraId="7720022B" w14:textId="77777777" w:rsidR="00BD2F58" w:rsidRPr="00DD2467" w:rsidRDefault="00BD2F58" w:rsidP="00BD2F58">
      <w:pPr>
        <w:jc w:val="both"/>
        <w:rPr>
          <w:sz w:val="22"/>
          <w:szCs w:val="22"/>
        </w:rPr>
      </w:pPr>
      <w:r w:rsidRPr="00DD2467">
        <w:rPr>
          <w:sz w:val="22"/>
          <w:szCs w:val="22"/>
        </w:rPr>
        <w:t>Les principaux objectifs de cette formation sont de :</w:t>
      </w:r>
    </w:p>
    <w:p w14:paraId="22001B57" w14:textId="77777777" w:rsidR="00BD2F58" w:rsidRPr="00DD2467" w:rsidRDefault="00BD2F58" w:rsidP="00BD2F58">
      <w:pPr>
        <w:numPr>
          <w:ilvl w:val="0"/>
          <w:numId w:val="1"/>
        </w:numPr>
        <w:jc w:val="both"/>
        <w:rPr>
          <w:sz w:val="22"/>
          <w:szCs w:val="22"/>
        </w:rPr>
      </w:pPr>
      <w:r w:rsidRPr="00DD2467">
        <w:rPr>
          <w:sz w:val="22"/>
          <w:szCs w:val="22"/>
        </w:rPr>
        <w:lastRenderedPageBreak/>
        <w:t>Décrire les caractéristiques des six types d’évènements naturels les plus fréquents,</w:t>
      </w:r>
    </w:p>
    <w:p w14:paraId="7925ABD9" w14:textId="77777777" w:rsidR="00BD2F58" w:rsidRPr="00DD2467" w:rsidRDefault="00BD2F58" w:rsidP="00BD2F58">
      <w:pPr>
        <w:numPr>
          <w:ilvl w:val="0"/>
          <w:numId w:val="1"/>
        </w:numPr>
        <w:jc w:val="both"/>
        <w:rPr>
          <w:sz w:val="22"/>
          <w:szCs w:val="22"/>
        </w:rPr>
      </w:pPr>
      <w:r w:rsidRPr="00DD2467">
        <w:rPr>
          <w:sz w:val="22"/>
          <w:szCs w:val="22"/>
        </w:rPr>
        <w:t>Mettre en marche les procédures correctes pour rassembler les informations</w:t>
      </w:r>
    </w:p>
    <w:p w14:paraId="353E9C78" w14:textId="77777777" w:rsidR="00BD2F58" w:rsidRPr="00DD2467" w:rsidRDefault="00BD2F58" w:rsidP="00BD2F58">
      <w:pPr>
        <w:numPr>
          <w:ilvl w:val="0"/>
          <w:numId w:val="1"/>
        </w:numPr>
        <w:jc w:val="both"/>
        <w:rPr>
          <w:sz w:val="22"/>
          <w:szCs w:val="22"/>
        </w:rPr>
      </w:pPr>
      <w:r w:rsidRPr="00DD2467">
        <w:rPr>
          <w:sz w:val="22"/>
          <w:szCs w:val="22"/>
        </w:rPr>
        <w:t>Utiliser des critères et des tableaux pour interpréter l’information obtenue dans l’estimation des dégâts et des besoins</w:t>
      </w:r>
    </w:p>
    <w:p w14:paraId="3E056C27" w14:textId="77777777" w:rsidR="00BD2F58" w:rsidRPr="00DD2467" w:rsidRDefault="00BD2F58" w:rsidP="00BD2F58">
      <w:pPr>
        <w:numPr>
          <w:ilvl w:val="0"/>
          <w:numId w:val="1"/>
        </w:numPr>
        <w:jc w:val="both"/>
        <w:rPr>
          <w:sz w:val="22"/>
          <w:szCs w:val="22"/>
        </w:rPr>
      </w:pPr>
      <w:r w:rsidRPr="00DD2467">
        <w:rPr>
          <w:sz w:val="22"/>
          <w:szCs w:val="22"/>
        </w:rPr>
        <w:t>Déterminer les besoins prioritaires et proposer des actions conformément aux critères établis.</w:t>
      </w:r>
    </w:p>
    <w:p w14:paraId="7112F5B9" w14:textId="77777777" w:rsidR="00BD2F58" w:rsidRPr="00DD2467" w:rsidRDefault="00BD2F58" w:rsidP="00BD2F58">
      <w:pPr>
        <w:pStyle w:val="ListParagraph"/>
        <w:numPr>
          <w:ilvl w:val="0"/>
          <w:numId w:val="1"/>
        </w:numPr>
        <w:rPr>
          <w:sz w:val="22"/>
          <w:szCs w:val="22"/>
        </w:rPr>
      </w:pPr>
      <w:r w:rsidRPr="00DD2467">
        <w:rPr>
          <w:sz w:val="22"/>
          <w:szCs w:val="22"/>
        </w:rPr>
        <w:t>Savoir recueillir des informations valables, reconnaitre celles qui sont utiles et procéder à une analyse de qualité qui puisse déboucher sur des recommandations réalistes.</w:t>
      </w:r>
    </w:p>
    <w:p w14:paraId="7F69A713" w14:textId="77777777" w:rsidR="00BD2F58" w:rsidRPr="00DD2467" w:rsidRDefault="00BD2F58" w:rsidP="00BD2F58">
      <w:pPr>
        <w:numPr>
          <w:ilvl w:val="0"/>
          <w:numId w:val="1"/>
        </w:numPr>
        <w:jc w:val="both"/>
        <w:rPr>
          <w:sz w:val="22"/>
          <w:szCs w:val="22"/>
        </w:rPr>
      </w:pPr>
      <w:r w:rsidRPr="00DD2467">
        <w:rPr>
          <w:sz w:val="22"/>
          <w:szCs w:val="22"/>
        </w:rPr>
        <w:t>Présenter un rapport de l’évaluation des dégâts et l’analyses des besoins en utilisant le formulaire proposé</w:t>
      </w:r>
    </w:p>
    <w:p w14:paraId="133B8143" w14:textId="77777777" w:rsidR="00BD2F58" w:rsidRPr="00DD2467" w:rsidRDefault="00BD2F58" w:rsidP="00BD2F58">
      <w:pPr>
        <w:numPr>
          <w:ilvl w:val="0"/>
          <w:numId w:val="1"/>
        </w:numPr>
        <w:jc w:val="both"/>
        <w:rPr>
          <w:sz w:val="22"/>
          <w:szCs w:val="22"/>
        </w:rPr>
      </w:pPr>
      <w:r w:rsidRPr="00DD2467">
        <w:rPr>
          <w:sz w:val="22"/>
          <w:szCs w:val="22"/>
        </w:rPr>
        <w:t>Examiner le rôle de la communication du risque dans les phases de crise et de catastrophe</w:t>
      </w:r>
    </w:p>
    <w:p w14:paraId="6CDA9678" w14:textId="77777777" w:rsidR="00BD2F58" w:rsidRPr="00DD2467" w:rsidRDefault="00BD2F58" w:rsidP="00BD2F58">
      <w:pPr>
        <w:numPr>
          <w:ilvl w:val="0"/>
          <w:numId w:val="1"/>
        </w:numPr>
        <w:jc w:val="both"/>
        <w:rPr>
          <w:sz w:val="22"/>
          <w:szCs w:val="22"/>
        </w:rPr>
      </w:pPr>
      <w:r w:rsidRPr="00DD2467">
        <w:rPr>
          <w:sz w:val="22"/>
          <w:szCs w:val="22"/>
        </w:rPr>
        <w:t>Définir et d’établir l’importance de la communication du risque</w:t>
      </w:r>
    </w:p>
    <w:p w14:paraId="18CB5D1A" w14:textId="77777777" w:rsidR="00BD2F58" w:rsidRPr="00DD2467" w:rsidRDefault="00BD2F58" w:rsidP="00BD2F58">
      <w:pPr>
        <w:numPr>
          <w:ilvl w:val="0"/>
          <w:numId w:val="1"/>
        </w:numPr>
        <w:jc w:val="both"/>
        <w:rPr>
          <w:sz w:val="22"/>
          <w:szCs w:val="22"/>
        </w:rPr>
      </w:pPr>
      <w:r w:rsidRPr="00DD2467">
        <w:rPr>
          <w:sz w:val="22"/>
          <w:szCs w:val="22"/>
        </w:rPr>
        <w:t>Identifier les composantes d’un message de communication du risque</w:t>
      </w:r>
    </w:p>
    <w:p w14:paraId="4CBF6A50" w14:textId="77777777" w:rsidR="00BD2F58" w:rsidRPr="00DD2467" w:rsidRDefault="00BD2F58" w:rsidP="00BD2F58">
      <w:pPr>
        <w:numPr>
          <w:ilvl w:val="0"/>
          <w:numId w:val="1"/>
        </w:numPr>
        <w:jc w:val="both"/>
        <w:rPr>
          <w:sz w:val="22"/>
          <w:szCs w:val="22"/>
        </w:rPr>
      </w:pPr>
      <w:r w:rsidRPr="00DD2467">
        <w:rPr>
          <w:sz w:val="22"/>
          <w:szCs w:val="22"/>
        </w:rPr>
        <w:t>Identifier les principes généraux suivants s’appliquant à la communication et la coordination en situation de crise</w:t>
      </w:r>
    </w:p>
    <w:p w14:paraId="665E5DEB" w14:textId="77777777" w:rsidR="00BD2F58" w:rsidRPr="00DD2467" w:rsidRDefault="00BD2F58" w:rsidP="00BD2F58">
      <w:pPr>
        <w:numPr>
          <w:ilvl w:val="0"/>
          <w:numId w:val="1"/>
        </w:numPr>
        <w:jc w:val="both"/>
        <w:rPr>
          <w:sz w:val="22"/>
          <w:szCs w:val="22"/>
        </w:rPr>
      </w:pPr>
      <w:r w:rsidRPr="00DD2467">
        <w:rPr>
          <w:sz w:val="22"/>
          <w:szCs w:val="22"/>
        </w:rPr>
        <w:t>Connaitre le schéma du système national de gestion des risques et des désastres (chaine de communication et logique de coordination)</w:t>
      </w:r>
    </w:p>
    <w:p w14:paraId="4D45FEED" w14:textId="77777777" w:rsidR="00BD2F58" w:rsidRPr="00DD2467" w:rsidRDefault="00BD2F58" w:rsidP="00BD2F58">
      <w:pPr>
        <w:jc w:val="both"/>
        <w:rPr>
          <w:sz w:val="22"/>
          <w:szCs w:val="22"/>
        </w:rPr>
      </w:pPr>
    </w:p>
    <w:p w14:paraId="11519BEC" w14:textId="77777777" w:rsidR="00BD2F58" w:rsidRPr="00DD2467" w:rsidRDefault="00BD2F58" w:rsidP="00BD2F58">
      <w:pPr>
        <w:jc w:val="both"/>
        <w:rPr>
          <w:b/>
          <w:bCs/>
          <w:sz w:val="22"/>
          <w:szCs w:val="22"/>
        </w:rPr>
      </w:pPr>
      <w:r w:rsidRPr="00DD2467">
        <w:rPr>
          <w:b/>
          <w:bCs/>
          <w:sz w:val="22"/>
          <w:szCs w:val="22"/>
        </w:rPr>
        <w:t xml:space="preserve">III-. RESULTATS ATTENDUS  </w:t>
      </w:r>
    </w:p>
    <w:p w14:paraId="02D76DB4" w14:textId="77777777" w:rsidR="00BD2F58" w:rsidRPr="00DD2467" w:rsidRDefault="00BD2F58" w:rsidP="00BD2F58">
      <w:pPr>
        <w:rPr>
          <w:b/>
          <w:bCs/>
          <w:sz w:val="22"/>
          <w:szCs w:val="22"/>
        </w:rPr>
      </w:pPr>
    </w:p>
    <w:p w14:paraId="1D983203" w14:textId="77777777" w:rsidR="00BD2F58" w:rsidRPr="00DD2467" w:rsidRDefault="00BD2F58" w:rsidP="00BD2F58">
      <w:pPr>
        <w:jc w:val="both"/>
        <w:rPr>
          <w:b/>
          <w:bCs/>
          <w:sz w:val="22"/>
          <w:szCs w:val="22"/>
        </w:rPr>
      </w:pPr>
      <w:r w:rsidRPr="00DD2467">
        <w:rPr>
          <w:sz w:val="22"/>
          <w:szCs w:val="22"/>
        </w:rPr>
        <w:t>Les résultats attendus à la fin de cette formation sont les suivants</w:t>
      </w:r>
      <w:r w:rsidRPr="00DD2467">
        <w:rPr>
          <w:b/>
          <w:bCs/>
          <w:sz w:val="22"/>
          <w:szCs w:val="22"/>
        </w:rPr>
        <w:t xml:space="preserve"> : </w:t>
      </w:r>
    </w:p>
    <w:p w14:paraId="72C36997" w14:textId="77777777" w:rsidR="00BD2F58" w:rsidRPr="00DD2467" w:rsidRDefault="00BD2F58" w:rsidP="00BD2F58">
      <w:pPr>
        <w:numPr>
          <w:ilvl w:val="0"/>
          <w:numId w:val="1"/>
        </w:numPr>
        <w:jc w:val="both"/>
        <w:rPr>
          <w:sz w:val="22"/>
          <w:szCs w:val="22"/>
        </w:rPr>
      </w:pPr>
      <w:r w:rsidRPr="00DD2467">
        <w:rPr>
          <w:sz w:val="22"/>
          <w:szCs w:val="22"/>
        </w:rPr>
        <w:t>Les participants maitrisent parfaitement bien les outils de collectes de données pour des évaluations rapides post catastrophe.</w:t>
      </w:r>
    </w:p>
    <w:p w14:paraId="4DB6C828" w14:textId="77777777" w:rsidR="00BD2F58" w:rsidRPr="00DD2467" w:rsidRDefault="00BD2F58" w:rsidP="00BD2F58">
      <w:pPr>
        <w:numPr>
          <w:ilvl w:val="0"/>
          <w:numId w:val="1"/>
        </w:numPr>
        <w:jc w:val="both"/>
        <w:rPr>
          <w:sz w:val="22"/>
          <w:szCs w:val="22"/>
        </w:rPr>
      </w:pPr>
      <w:r w:rsidRPr="00DD2467">
        <w:rPr>
          <w:sz w:val="22"/>
          <w:szCs w:val="22"/>
        </w:rPr>
        <w:t>Les participants sont capables de procéder à une analyse de qualité des données qui puisse déboucher sur des recommandations réalistes.</w:t>
      </w:r>
    </w:p>
    <w:p w14:paraId="78297B92" w14:textId="77777777" w:rsidR="00BD2F58" w:rsidRPr="00DD2467" w:rsidRDefault="00BD2F58" w:rsidP="00BD2F58">
      <w:pPr>
        <w:numPr>
          <w:ilvl w:val="0"/>
          <w:numId w:val="1"/>
        </w:numPr>
        <w:jc w:val="both"/>
        <w:rPr>
          <w:sz w:val="22"/>
          <w:szCs w:val="22"/>
        </w:rPr>
      </w:pPr>
      <w:r w:rsidRPr="00DD2467">
        <w:rPr>
          <w:sz w:val="22"/>
          <w:szCs w:val="22"/>
        </w:rPr>
        <w:t xml:space="preserve">Les participants sont en mesure de bien rédiger les rapports d’Evaluation des dégâts(EDAB)  </w:t>
      </w:r>
    </w:p>
    <w:p w14:paraId="6A769675" w14:textId="77777777" w:rsidR="00BD2F58" w:rsidRPr="00DD2467" w:rsidRDefault="00BD2F58" w:rsidP="00BD2F58">
      <w:pPr>
        <w:numPr>
          <w:ilvl w:val="0"/>
          <w:numId w:val="1"/>
        </w:numPr>
        <w:jc w:val="both"/>
        <w:rPr>
          <w:sz w:val="22"/>
          <w:szCs w:val="22"/>
        </w:rPr>
      </w:pPr>
      <w:r w:rsidRPr="00DD2467">
        <w:rPr>
          <w:sz w:val="22"/>
          <w:szCs w:val="22"/>
        </w:rPr>
        <w:t xml:space="preserve">Les participants  ont une compréhension commune sur la préparation aux désastres, l’évaluation des dommages et  la réponse post catastrophe dans les communautés. </w:t>
      </w:r>
    </w:p>
    <w:p w14:paraId="6277019C" w14:textId="77777777" w:rsidR="00BD2F58" w:rsidRPr="00DD2467" w:rsidRDefault="00BD2F58" w:rsidP="00BD2F58">
      <w:pPr>
        <w:numPr>
          <w:ilvl w:val="0"/>
          <w:numId w:val="1"/>
        </w:numPr>
        <w:jc w:val="both"/>
        <w:rPr>
          <w:sz w:val="22"/>
          <w:szCs w:val="22"/>
        </w:rPr>
      </w:pPr>
      <w:r w:rsidRPr="00DD2467">
        <w:rPr>
          <w:sz w:val="22"/>
          <w:szCs w:val="22"/>
        </w:rPr>
        <w:t>Un groupe de 30 volontaires est formé et prêt à accompagner les communautés dans le cadre des évaluations post catastrophe.</w:t>
      </w:r>
    </w:p>
    <w:p w14:paraId="0A85A839" w14:textId="77777777" w:rsidR="00BD2F58" w:rsidRPr="00DD2467" w:rsidRDefault="00BD2F58" w:rsidP="00BD2F58">
      <w:pPr>
        <w:ind w:left="720"/>
        <w:jc w:val="both"/>
        <w:rPr>
          <w:sz w:val="22"/>
          <w:szCs w:val="22"/>
        </w:rPr>
      </w:pPr>
    </w:p>
    <w:p w14:paraId="4493516C" w14:textId="77777777" w:rsidR="00BD2F58" w:rsidRPr="00DD2467" w:rsidRDefault="00BD2F58" w:rsidP="00BD2F58">
      <w:pPr>
        <w:rPr>
          <w:b/>
          <w:bCs/>
          <w:sz w:val="22"/>
          <w:szCs w:val="22"/>
        </w:rPr>
      </w:pPr>
      <w:r w:rsidRPr="00DD2467">
        <w:rPr>
          <w:b/>
          <w:bCs/>
          <w:sz w:val="22"/>
          <w:szCs w:val="22"/>
        </w:rPr>
        <w:t>IV-. PROFIL DU FORMATEUR</w:t>
      </w:r>
    </w:p>
    <w:p w14:paraId="62A77758" w14:textId="77777777" w:rsidR="00BD2F58" w:rsidRPr="00DD2467" w:rsidRDefault="00BD2F58" w:rsidP="00BD2F58">
      <w:pPr>
        <w:rPr>
          <w:b/>
          <w:bCs/>
          <w:sz w:val="22"/>
          <w:szCs w:val="22"/>
        </w:rPr>
      </w:pPr>
    </w:p>
    <w:p w14:paraId="4D9A6660" w14:textId="77777777" w:rsidR="00BD2F58" w:rsidRPr="00DD2467" w:rsidRDefault="00BD2F58" w:rsidP="00BD2F58">
      <w:pPr>
        <w:pStyle w:val="BodyText2"/>
        <w:rPr>
          <w:sz w:val="22"/>
          <w:szCs w:val="22"/>
        </w:rPr>
      </w:pPr>
      <w:r w:rsidRPr="00DD2467">
        <w:rPr>
          <w:sz w:val="22"/>
          <w:szCs w:val="22"/>
        </w:rPr>
        <w:t xml:space="preserve">Le formateur devra être certifié par le Système National de la Gestion des Risques et des Désastres (SNGRD). Il est souhaitable que le formateur ait déjà mené des activités de formation sur cette thématique.  </w:t>
      </w:r>
    </w:p>
    <w:p w14:paraId="375650EF" w14:textId="77777777" w:rsidR="00BD2F58" w:rsidRPr="00DD2467" w:rsidRDefault="00BD2F58" w:rsidP="00BD2F58">
      <w:pPr>
        <w:pStyle w:val="BodyText2"/>
        <w:rPr>
          <w:sz w:val="22"/>
          <w:szCs w:val="22"/>
        </w:rPr>
      </w:pPr>
      <w:r w:rsidRPr="00DD2467">
        <w:rPr>
          <w:sz w:val="22"/>
          <w:szCs w:val="22"/>
        </w:rPr>
        <w:t>Le formateur devra remplir les conditions suivantes :</w:t>
      </w:r>
    </w:p>
    <w:p w14:paraId="056BB56C" w14:textId="77777777" w:rsidR="00BD2F58" w:rsidRPr="00DD2467" w:rsidRDefault="00BD2F58" w:rsidP="00BD2F58">
      <w:pPr>
        <w:pStyle w:val="BodyText2"/>
        <w:numPr>
          <w:ilvl w:val="0"/>
          <w:numId w:val="1"/>
        </w:numPr>
        <w:rPr>
          <w:sz w:val="22"/>
          <w:szCs w:val="22"/>
        </w:rPr>
      </w:pPr>
      <w:r w:rsidRPr="00DD2467">
        <w:rPr>
          <w:sz w:val="22"/>
          <w:szCs w:val="22"/>
        </w:rPr>
        <w:t xml:space="preserve">Avoir un diplôme universitaire équivalent à au moins une licence dans des domaines tels: Sociologie, Droit, Communication et autres… </w:t>
      </w:r>
    </w:p>
    <w:p w14:paraId="101BA67C" w14:textId="77777777" w:rsidR="00BD2F58" w:rsidRPr="00DD2467" w:rsidRDefault="00BD2F58" w:rsidP="00BD2F58">
      <w:pPr>
        <w:pStyle w:val="BodyText2"/>
        <w:numPr>
          <w:ilvl w:val="0"/>
          <w:numId w:val="1"/>
        </w:numPr>
        <w:rPr>
          <w:sz w:val="22"/>
          <w:szCs w:val="22"/>
        </w:rPr>
      </w:pPr>
      <w:r w:rsidRPr="00DD2467">
        <w:rPr>
          <w:sz w:val="22"/>
          <w:szCs w:val="22"/>
        </w:rPr>
        <w:t>Avoir une spécialité en Gestion des Risques et des Désastres (GRD)</w:t>
      </w:r>
    </w:p>
    <w:p w14:paraId="0FCEAA02" w14:textId="77777777" w:rsidR="00BD2F58" w:rsidRPr="00DD2467" w:rsidRDefault="00BD2F58" w:rsidP="00BD2F58">
      <w:pPr>
        <w:pStyle w:val="BodyText2"/>
        <w:numPr>
          <w:ilvl w:val="0"/>
          <w:numId w:val="1"/>
        </w:numPr>
        <w:rPr>
          <w:sz w:val="22"/>
          <w:szCs w:val="22"/>
        </w:rPr>
      </w:pPr>
      <w:r w:rsidRPr="00DD2467">
        <w:rPr>
          <w:sz w:val="22"/>
          <w:szCs w:val="22"/>
        </w:rPr>
        <w:t>Justifier d’une solide expérience pour les formations de type participatif</w:t>
      </w:r>
    </w:p>
    <w:p w14:paraId="065CC2BB" w14:textId="77777777" w:rsidR="00BD2F58" w:rsidRPr="00DD2467" w:rsidRDefault="00BD2F58" w:rsidP="00BD2F58">
      <w:pPr>
        <w:pStyle w:val="BodyText2"/>
        <w:numPr>
          <w:ilvl w:val="0"/>
          <w:numId w:val="1"/>
        </w:numPr>
        <w:rPr>
          <w:sz w:val="22"/>
          <w:szCs w:val="22"/>
        </w:rPr>
      </w:pPr>
      <w:r w:rsidRPr="00DD2467">
        <w:rPr>
          <w:sz w:val="22"/>
          <w:szCs w:val="22"/>
        </w:rPr>
        <w:t>Etre disponible pour les jours de la formation</w:t>
      </w:r>
    </w:p>
    <w:p w14:paraId="2FA735A9" w14:textId="77777777" w:rsidR="00BD2F58" w:rsidRPr="00DD2467" w:rsidRDefault="00BD2F58" w:rsidP="00BD2F58">
      <w:pPr>
        <w:pStyle w:val="BodyText2"/>
        <w:numPr>
          <w:ilvl w:val="0"/>
          <w:numId w:val="1"/>
        </w:numPr>
        <w:rPr>
          <w:sz w:val="22"/>
          <w:szCs w:val="22"/>
        </w:rPr>
      </w:pPr>
      <w:r w:rsidRPr="00DD2467">
        <w:rPr>
          <w:sz w:val="22"/>
          <w:szCs w:val="22"/>
        </w:rPr>
        <w:t xml:space="preserve">Etre un bon facilitateur de séminaire  </w:t>
      </w:r>
    </w:p>
    <w:p w14:paraId="3CC250F0" w14:textId="77777777" w:rsidR="00BD2F58" w:rsidRPr="00DD2467" w:rsidRDefault="00BD2F58" w:rsidP="00BD2F58">
      <w:pPr>
        <w:pStyle w:val="BodyText2"/>
        <w:ind w:left="360"/>
        <w:rPr>
          <w:sz w:val="22"/>
          <w:szCs w:val="22"/>
        </w:rPr>
      </w:pPr>
    </w:p>
    <w:p w14:paraId="05A7D80A" w14:textId="77777777" w:rsidR="00BD2F58" w:rsidRPr="00DD2467" w:rsidRDefault="00BD2F58" w:rsidP="00BD2F58">
      <w:pPr>
        <w:jc w:val="both"/>
        <w:rPr>
          <w:sz w:val="22"/>
          <w:szCs w:val="22"/>
        </w:rPr>
      </w:pPr>
    </w:p>
    <w:p w14:paraId="1317AABD" w14:textId="77777777" w:rsidR="00BD2F58" w:rsidRPr="00DD2467" w:rsidRDefault="00BD2F58" w:rsidP="00BD2F58">
      <w:pPr>
        <w:pStyle w:val="Heading2"/>
        <w:rPr>
          <w:sz w:val="22"/>
          <w:szCs w:val="22"/>
        </w:rPr>
      </w:pPr>
      <w:r w:rsidRPr="00DD2467">
        <w:rPr>
          <w:sz w:val="22"/>
          <w:szCs w:val="22"/>
        </w:rPr>
        <w:t xml:space="preserve">V-. ROLE DU FORMATEUR </w:t>
      </w:r>
    </w:p>
    <w:p w14:paraId="0DFDC37E" w14:textId="77777777" w:rsidR="00BD2F58" w:rsidRPr="00DD2467" w:rsidRDefault="00BD2F58" w:rsidP="00BD2F58">
      <w:pPr>
        <w:jc w:val="both"/>
        <w:rPr>
          <w:b/>
          <w:bCs/>
          <w:sz w:val="22"/>
          <w:szCs w:val="22"/>
        </w:rPr>
      </w:pPr>
    </w:p>
    <w:p w14:paraId="5B418067" w14:textId="77777777" w:rsidR="00BD2F58" w:rsidRPr="00DD2467" w:rsidRDefault="00BD2F58" w:rsidP="00BD2F58">
      <w:pPr>
        <w:numPr>
          <w:ilvl w:val="0"/>
          <w:numId w:val="2"/>
        </w:numPr>
        <w:overflowPunct w:val="0"/>
        <w:autoSpaceDE w:val="0"/>
        <w:autoSpaceDN w:val="0"/>
        <w:adjustRightInd w:val="0"/>
        <w:jc w:val="both"/>
        <w:rPr>
          <w:sz w:val="22"/>
          <w:szCs w:val="22"/>
        </w:rPr>
      </w:pPr>
      <w:r w:rsidRPr="00DD2467">
        <w:rPr>
          <w:sz w:val="22"/>
          <w:szCs w:val="22"/>
        </w:rPr>
        <w:t>Le formateur devra utiliser les documents  de la DPC sur l’évaluation des dégâts et l’analyse des besoins pour former les volontaires de la Croix-Rouge.</w:t>
      </w:r>
    </w:p>
    <w:p w14:paraId="7AE7E221" w14:textId="77777777" w:rsidR="00BD2F58" w:rsidRPr="00DD2467" w:rsidRDefault="00BD2F58" w:rsidP="00BD2F58">
      <w:pPr>
        <w:numPr>
          <w:ilvl w:val="0"/>
          <w:numId w:val="2"/>
        </w:numPr>
        <w:overflowPunct w:val="0"/>
        <w:autoSpaceDE w:val="0"/>
        <w:autoSpaceDN w:val="0"/>
        <w:adjustRightInd w:val="0"/>
        <w:jc w:val="both"/>
        <w:rPr>
          <w:sz w:val="22"/>
          <w:szCs w:val="22"/>
        </w:rPr>
      </w:pPr>
      <w:r w:rsidRPr="00DD2467">
        <w:rPr>
          <w:sz w:val="22"/>
          <w:szCs w:val="22"/>
        </w:rPr>
        <w:t>Il doit préparer l’agenda de la formation et l’envoyer au staff du projet deux jours  avant la formation</w:t>
      </w:r>
    </w:p>
    <w:p w14:paraId="2CDB0FB7" w14:textId="77777777" w:rsidR="00BD2F58" w:rsidRPr="00DD2467" w:rsidRDefault="00BD2F58" w:rsidP="00BD2F58">
      <w:pPr>
        <w:numPr>
          <w:ilvl w:val="0"/>
          <w:numId w:val="2"/>
        </w:numPr>
        <w:overflowPunct w:val="0"/>
        <w:autoSpaceDE w:val="0"/>
        <w:autoSpaceDN w:val="0"/>
        <w:adjustRightInd w:val="0"/>
        <w:jc w:val="both"/>
        <w:rPr>
          <w:sz w:val="22"/>
          <w:szCs w:val="22"/>
        </w:rPr>
      </w:pPr>
      <w:r w:rsidRPr="00DD2467">
        <w:rPr>
          <w:sz w:val="22"/>
          <w:szCs w:val="22"/>
        </w:rPr>
        <w:t>Corriger le pré-test et le post test</w:t>
      </w:r>
    </w:p>
    <w:p w14:paraId="6AF69F8B" w14:textId="77777777" w:rsidR="00BD2F58" w:rsidRPr="00DD2467" w:rsidRDefault="00BD2F58" w:rsidP="00BD2F58">
      <w:pPr>
        <w:numPr>
          <w:ilvl w:val="0"/>
          <w:numId w:val="2"/>
        </w:numPr>
        <w:overflowPunct w:val="0"/>
        <w:autoSpaceDE w:val="0"/>
        <w:autoSpaceDN w:val="0"/>
        <w:adjustRightInd w:val="0"/>
        <w:jc w:val="both"/>
        <w:rPr>
          <w:sz w:val="22"/>
          <w:szCs w:val="22"/>
        </w:rPr>
      </w:pPr>
      <w:r w:rsidRPr="00DD2467">
        <w:rPr>
          <w:sz w:val="22"/>
          <w:szCs w:val="22"/>
        </w:rPr>
        <w:t xml:space="preserve">Animer les séances </w:t>
      </w:r>
    </w:p>
    <w:p w14:paraId="12537CF4" w14:textId="77777777" w:rsidR="00BD2F58" w:rsidRPr="00DD2467" w:rsidRDefault="00BD2F58" w:rsidP="00BD2F58">
      <w:pPr>
        <w:numPr>
          <w:ilvl w:val="0"/>
          <w:numId w:val="2"/>
        </w:numPr>
        <w:overflowPunct w:val="0"/>
        <w:autoSpaceDE w:val="0"/>
        <w:autoSpaceDN w:val="0"/>
        <w:adjustRightInd w:val="0"/>
        <w:jc w:val="both"/>
        <w:rPr>
          <w:sz w:val="22"/>
          <w:szCs w:val="22"/>
        </w:rPr>
      </w:pPr>
      <w:r w:rsidRPr="00DD2467">
        <w:rPr>
          <w:sz w:val="22"/>
          <w:szCs w:val="22"/>
        </w:rPr>
        <w:t>Elaborer le rapport de formation</w:t>
      </w:r>
    </w:p>
    <w:p w14:paraId="27ED4E05" w14:textId="77777777" w:rsidR="00BD2F58" w:rsidRPr="00DD2467" w:rsidRDefault="00BD2F58" w:rsidP="00BD2F58">
      <w:pPr>
        <w:numPr>
          <w:ilvl w:val="0"/>
          <w:numId w:val="2"/>
        </w:numPr>
        <w:overflowPunct w:val="0"/>
        <w:autoSpaceDE w:val="0"/>
        <w:autoSpaceDN w:val="0"/>
        <w:adjustRightInd w:val="0"/>
        <w:jc w:val="both"/>
        <w:rPr>
          <w:sz w:val="22"/>
          <w:szCs w:val="22"/>
        </w:rPr>
      </w:pPr>
      <w:r w:rsidRPr="00DD2467">
        <w:rPr>
          <w:sz w:val="22"/>
          <w:szCs w:val="22"/>
        </w:rPr>
        <w:lastRenderedPageBreak/>
        <w:t>Partager le rapport final de la formation avec le staff du projet</w:t>
      </w:r>
    </w:p>
    <w:p w14:paraId="55D6E431" w14:textId="77777777" w:rsidR="00BD2F58" w:rsidRPr="00DD2467" w:rsidRDefault="00BD2F58" w:rsidP="00BD2F58">
      <w:pPr>
        <w:overflowPunct w:val="0"/>
        <w:autoSpaceDE w:val="0"/>
        <w:autoSpaceDN w:val="0"/>
        <w:adjustRightInd w:val="0"/>
        <w:jc w:val="both"/>
        <w:rPr>
          <w:sz w:val="22"/>
          <w:szCs w:val="22"/>
        </w:rPr>
      </w:pPr>
    </w:p>
    <w:p w14:paraId="2FFD057E" w14:textId="77777777" w:rsidR="00BD2F58" w:rsidRPr="00DD2467" w:rsidRDefault="00BD2F58" w:rsidP="00BD2F58">
      <w:pPr>
        <w:overflowPunct w:val="0"/>
        <w:autoSpaceDE w:val="0"/>
        <w:autoSpaceDN w:val="0"/>
        <w:adjustRightInd w:val="0"/>
        <w:jc w:val="both"/>
        <w:rPr>
          <w:b/>
          <w:bCs/>
          <w:sz w:val="22"/>
          <w:szCs w:val="22"/>
        </w:rPr>
      </w:pPr>
      <w:r w:rsidRPr="00DD2467">
        <w:rPr>
          <w:b/>
          <w:bCs/>
          <w:sz w:val="22"/>
          <w:szCs w:val="22"/>
        </w:rPr>
        <w:t xml:space="preserve">VI-. PARTICIPANTS </w:t>
      </w:r>
    </w:p>
    <w:p w14:paraId="18C87683" w14:textId="77777777" w:rsidR="00BD2F58" w:rsidRPr="00DD2467" w:rsidRDefault="00BD2F58" w:rsidP="00BD2F58">
      <w:pPr>
        <w:overflowPunct w:val="0"/>
        <w:autoSpaceDE w:val="0"/>
        <w:autoSpaceDN w:val="0"/>
        <w:adjustRightInd w:val="0"/>
        <w:jc w:val="both"/>
        <w:rPr>
          <w:b/>
          <w:bCs/>
          <w:sz w:val="22"/>
          <w:szCs w:val="22"/>
        </w:rPr>
      </w:pPr>
      <w:r w:rsidRPr="00DD2467">
        <w:rPr>
          <w:b/>
          <w:bCs/>
          <w:sz w:val="22"/>
          <w:szCs w:val="22"/>
        </w:rPr>
        <w:t> </w:t>
      </w:r>
    </w:p>
    <w:p w14:paraId="5D773ADB" w14:textId="77777777" w:rsidR="00BD2F58" w:rsidRPr="00DD2467" w:rsidRDefault="00BD2F58" w:rsidP="00BD2F58">
      <w:pPr>
        <w:jc w:val="both"/>
        <w:rPr>
          <w:bCs/>
          <w:sz w:val="22"/>
          <w:szCs w:val="22"/>
        </w:rPr>
      </w:pPr>
      <w:r w:rsidRPr="00DD2467">
        <w:rPr>
          <w:sz w:val="22"/>
          <w:szCs w:val="22"/>
        </w:rPr>
        <w:t xml:space="preserve">L’atelier de formation est destiné aux 18 membres du SSAD de Bassin Bleu, Bombardopolis, Anse-a-Foleur et 12 autres volontaires de port-de-paix, tous volontaires de la Croix-Rouge Haïtienne. </w:t>
      </w:r>
    </w:p>
    <w:p w14:paraId="4219D766" w14:textId="77777777" w:rsidR="00BD2F58" w:rsidRPr="00DD2467" w:rsidRDefault="00BD2F58" w:rsidP="00BD2F58">
      <w:pPr>
        <w:jc w:val="both"/>
        <w:rPr>
          <w:b/>
          <w:bCs/>
          <w:sz w:val="22"/>
          <w:szCs w:val="22"/>
        </w:rPr>
      </w:pPr>
    </w:p>
    <w:p w14:paraId="746936D9" w14:textId="77777777" w:rsidR="00BD2F58" w:rsidRPr="00DD2467" w:rsidRDefault="00BD2F58" w:rsidP="00BD2F58">
      <w:pPr>
        <w:jc w:val="both"/>
        <w:rPr>
          <w:b/>
          <w:bCs/>
          <w:sz w:val="22"/>
          <w:szCs w:val="22"/>
        </w:rPr>
      </w:pPr>
      <w:r w:rsidRPr="00DD2467">
        <w:rPr>
          <w:b/>
          <w:bCs/>
          <w:sz w:val="22"/>
          <w:szCs w:val="22"/>
        </w:rPr>
        <w:t>VII-. PERIODE/ANIMATION / LIEU DE LA FORMATION/</w:t>
      </w:r>
    </w:p>
    <w:p w14:paraId="036A1806" w14:textId="77777777" w:rsidR="00BD2F58" w:rsidRPr="00DD2467" w:rsidRDefault="00BD2F58" w:rsidP="00BD2F58">
      <w:pPr>
        <w:jc w:val="both"/>
        <w:rPr>
          <w:sz w:val="22"/>
          <w:szCs w:val="22"/>
        </w:rPr>
      </w:pPr>
      <w:r w:rsidRPr="00DD2467">
        <w:rPr>
          <w:sz w:val="22"/>
          <w:szCs w:val="22"/>
        </w:rPr>
        <w:t xml:space="preserve">La formation est prévue du 4 au 6 avril 2022 et sera animée par deux facilitateurs certifiés de la DPC/Branche </w:t>
      </w:r>
      <w:proofErr w:type="spellStart"/>
      <w:r w:rsidRPr="00DD2467">
        <w:rPr>
          <w:sz w:val="22"/>
          <w:szCs w:val="22"/>
        </w:rPr>
        <w:t>Nord’Ouest</w:t>
      </w:r>
      <w:proofErr w:type="spellEnd"/>
      <w:r w:rsidRPr="00DD2467">
        <w:rPr>
          <w:sz w:val="22"/>
          <w:szCs w:val="22"/>
        </w:rPr>
        <w:t xml:space="preserve">. </w:t>
      </w:r>
    </w:p>
    <w:p w14:paraId="182854F4" w14:textId="77777777" w:rsidR="00BD2F58" w:rsidRPr="00DD2467" w:rsidRDefault="00BD2F58" w:rsidP="00BD2F58">
      <w:pPr>
        <w:jc w:val="both"/>
        <w:rPr>
          <w:sz w:val="22"/>
          <w:szCs w:val="22"/>
        </w:rPr>
      </w:pPr>
    </w:p>
    <w:p w14:paraId="5E4FE603" w14:textId="77777777" w:rsidR="00BD2F58" w:rsidRPr="00DD2467" w:rsidRDefault="00BD2F58" w:rsidP="00BD2F58">
      <w:pPr>
        <w:jc w:val="both"/>
        <w:rPr>
          <w:bCs/>
          <w:sz w:val="22"/>
          <w:szCs w:val="22"/>
        </w:rPr>
      </w:pPr>
      <w:r w:rsidRPr="00DD2467">
        <w:rPr>
          <w:b/>
          <w:bCs/>
          <w:sz w:val="22"/>
          <w:szCs w:val="22"/>
        </w:rPr>
        <w:t xml:space="preserve">VIII-. ORGANISATION DE LA FORMATION : </w:t>
      </w:r>
      <w:r w:rsidRPr="00DD2467">
        <w:rPr>
          <w:bCs/>
          <w:sz w:val="22"/>
          <w:szCs w:val="22"/>
        </w:rPr>
        <w:t>Croix-Rouge Haïtienne/ARC dans le cadre de l’implémentation du projet SDPER</w:t>
      </w:r>
    </w:p>
    <w:p w14:paraId="3A37E4F8" w14:textId="77777777" w:rsidR="00BD2F58" w:rsidRPr="00DD2467" w:rsidRDefault="00BD2F58" w:rsidP="00BD2F58">
      <w:pPr>
        <w:pStyle w:val="Heading2"/>
        <w:rPr>
          <w:sz w:val="22"/>
          <w:szCs w:val="22"/>
        </w:rPr>
      </w:pPr>
    </w:p>
    <w:p w14:paraId="0D57DCCE" w14:textId="77777777" w:rsidR="00BD2F58" w:rsidRPr="00DD2467" w:rsidRDefault="00BD2F58" w:rsidP="00BD2F58">
      <w:pPr>
        <w:pStyle w:val="Heading2"/>
        <w:rPr>
          <w:sz w:val="22"/>
          <w:szCs w:val="22"/>
        </w:rPr>
      </w:pPr>
    </w:p>
    <w:p w14:paraId="7EBE9516" w14:textId="77777777" w:rsidR="00BD2F58" w:rsidRPr="00DD2467" w:rsidRDefault="00BD2F58" w:rsidP="00BD2F58">
      <w:pPr>
        <w:pStyle w:val="Heading2"/>
        <w:rPr>
          <w:sz w:val="22"/>
          <w:szCs w:val="22"/>
        </w:rPr>
      </w:pPr>
      <w:r w:rsidRPr="00DD2467">
        <w:rPr>
          <w:sz w:val="22"/>
          <w:szCs w:val="22"/>
        </w:rPr>
        <w:t>IX-. METHODOLOGIE</w:t>
      </w:r>
    </w:p>
    <w:p w14:paraId="706A6D6B" w14:textId="77777777" w:rsidR="00BD2F58" w:rsidRPr="00DD2467" w:rsidRDefault="00BD2F58" w:rsidP="00BD2F58">
      <w:pPr>
        <w:rPr>
          <w:sz w:val="22"/>
          <w:szCs w:val="22"/>
        </w:rPr>
      </w:pPr>
    </w:p>
    <w:p w14:paraId="3DF48899" w14:textId="77777777" w:rsidR="00BD2F58" w:rsidRPr="00DD2467" w:rsidRDefault="00BD2F58" w:rsidP="00BD2F58">
      <w:pPr>
        <w:jc w:val="both"/>
        <w:rPr>
          <w:sz w:val="22"/>
          <w:szCs w:val="22"/>
        </w:rPr>
      </w:pPr>
      <w:r w:rsidRPr="00DD2467">
        <w:rPr>
          <w:sz w:val="22"/>
          <w:szCs w:val="22"/>
        </w:rPr>
        <w:t>La Méthode Interactive d’Enseignement (MIE) sera utilisée au cours de cet atelier de formation. Elle fait appel, aux connaissances antérieures, compétences et valeurs personnelles de chaque participant.</w:t>
      </w:r>
    </w:p>
    <w:p w14:paraId="6929309E" w14:textId="77777777" w:rsidR="00BD2F58" w:rsidRPr="00DD2467" w:rsidRDefault="00BD2F58" w:rsidP="00BD2F58">
      <w:pPr>
        <w:jc w:val="both"/>
        <w:rPr>
          <w:sz w:val="22"/>
          <w:szCs w:val="22"/>
        </w:rPr>
      </w:pPr>
    </w:p>
    <w:p w14:paraId="6C3B11D6" w14:textId="77777777" w:rsidR="00BD2F58" w:rsidRPr="00DD2467" w:rsidRDefault="00BD2F58" w:rsidP="00BD2F58">
      <w:pPr>
        <w:rPr>
          <w:color w:val="FF0000"/>
          <w:sz w:val="22"/>
          <w:szCs w:val="22"/>
        </w:rPr>
      </w:pPr>
      <w:r w:rsidRPr="00DD2467">
        <w:rPr>
          <w:sz w:val="22"/>
          <w:szCs w:val="22"/>
        </w:rPr>
        <w:t xml:space="preserve">La formation se déroulera d’une manière participative afin que tous les participants puissent prendre part </w:t>
      </w:r>
      <w:r w:rsidRPr="00DD2467">
        <w:rPr>
          <w:color w:val="FF0000"/>
          <w:sz w:val="22"/>
          <w:szCs w:val="22"/>
        </w:rPr>
        <w:t xml:space="preserve"> </w:t>
      </w:r>
      <w:r w:rsidRPr="00DD2467">
        <w:rPr>
          <w:sz w:val="22"/>
          <w:szCs w:val="22"/>
        </w:rPr>
        <w:t xml:space="preserve">aux débats. </w:t>
      </w:r>
    </w:p>
    <w:p w14:paraId="312822EC" w14:textId="77777777" w:rsidR="00BD2F58" w:rsidRPr="00DD2467" w:rsidRDefault="00BD2F58" w:rsidP="00BD2F58">
      <w:pPr>
        <w:pStyle w:val="Heading2"/>
        <w:rPr>
          <w:sz w:val="22"/>
          <w:szCs w:val="22"/>
        </w:rPr>
      </w:pPr>
    </w:p>
    <w:p w14:paraId="6BD08C07" w14:textId="77777777" w:rsidR="00BD2F58" w:rsidRPr="00DD2467" w:rsidRDefault="00BD2F58" w:rsidP="00BD2F58">
      <w:pPr>
        <w:pStyle w:val="Heading2"/>
        <w:rPr>
          <w:sz w:val="22"/>
          <w:szCs w:val="22"/>
        </w:rPr>
      </w:pPr>
      <w:r w:rsidRPr="00DD2467">
        <w:rPr>
          <w:sz w:val="22"/>
          <w:szCs w:val="22"/>
        </w:rPr>
        <w:t xml:space="preserve">X-. </w:t>
      </w:r>
      <w:r w:rsidRPr="00DD2467">
        <w:rPr>
          <w:rFonts w:eastAsiaTheme="minorEastAsia"/>
          <w:color w:val="000000"/>
          <w:sz w:val="22"/>
          <w:szCs w:val="22"/>
          <w:lang w:eastAsia="zh-CN"/>
        </w:rPr>
        <w:t xml:space="preserve"> </w:t>
      </w:r>
      <w:r w:rsidRPr="00DD2467">
        <w:rPr>
          <w:rFonts w:eastAsiaTheme="minorEastAsia"/>
          <w:color w:val="000000"/>
          <w:sz w:val="22"/>
          <w:szCs w:val="22"/>
          <w:u w:val="single"/>
          <w:lang w:eastAsia="zh-CN"/>
        </w:rPr>
        <w:t>Durée de la formation et mode de paiement.</w:t>
      </w:r>
      <w:r w:rsidRPr="00DD2467">
        <w:rPr>
          <w:rFonts w:eastAsiaTheme="minorEastAsia"/>
          <w:color w:val="000000"/>
          <w:sz w:val="22"/>
          <w:szCs w:val="22"/>
          <w:lang w:eastAsia="zh-CN"/>
        </w:rPr>
        <w:t xml:space="preserve"> </w:t>
      </w:r>
    </w:p>
    <w:p w14:paraId="3A98CFA5" w14:textId="77777777" w:rsidR="00BD2F58" w:rsidRPr="00DD2467" w:rsidRDefault="00BD2F58" w:rsidP="00BD2F58">
      <w:pPr>
        <w:widowControl w:val="0"/>
        <w:tabs>
          <w:tab w:val="left" w:pos="220"/>
          <w:tab w:val="left" w:pos="720"/>
        </w:tabs>
        <w:autoSpaceDE w:val="0"/>
        <w:autoSpaceDN w:val="0"/>
        <w:adjustRightInd w:val="0"/>
        <w:spacing w:line="276" w:lineRule="auto"/>
        <w:jc w:val="both"/>
        <w:rPr>
          <w:rFonts w:eastAsiaTheme="minorEastAsia"/>
          <w:sz w:val="22"/>
          <w:szCs w:val="22"/>
          <w:lang w:eastAsia="zh-CN"/>
        </w:rPr>
      </w:pPr>
      <w:r w:rsidRPr="00DD2467">
        <w:rPr>
          <w:rFonts w:eastAsiaTheme="minorEastAsia"/>
          <w:sz w:val="22"/>
          <w:szCs w:val="22"/>
          <w:lang w:eastAsia="zh-CN"/>
        </w:rPr>
        <w:t>La formation s’étendra sur trois (3) jours, pour une durée totale minimum de 24 heures à raison de 8 heures par jour. A cet effet</w:t>
      </w:r>
      <w:r w:rsidRPr="00DD2467">
        <w:rPr>
          <w:rFonts w:eastAsiaTheme="minorEastAsia"/>
          <w:color w:val="000000"/>
          <w:sz w:val="22"/>
          <w:szCs w:val="22"/>
          <w:lang w:eastAsia="zh-CN"/>
        </w:rPr>
        <w:t xml:space="preserve">, </w:t>
      </w:r>
      <w:r w:rsidRPr="00DD2467">
        <w:rPr>
          <w:rFonts w:eastAsiaTheme="minorEastAsia"/>
          <w:sz w:val="22"/>
          <w:szCs w:val="22"/>
          <w:lang w:eastAsia="zh-CN"/>
        </w:rPr>
        <w:t xml:space="preserve">la Croix Rouge </w:t>
      </w:r>
      <w:proofErr w:type="spellStart"/>
      <w:r w:rsidRPr="00DD2467">
        <w:rPr>
          <w:rFonts w:eastAsiaTheme="minorEastAsia"/>
          <w:sz w:val="22"/>
          <w:szCs w:val="22"/>
          <w:lang w:eastAsia="zh-CN"/>
        </w:rPr>
        <w:t>Haitienne</w:t>
      </w:r>
      <w:proofErr w:type="spellEnd"/>
      <w:r w:rsidRPr="00DD2467">
        <w:rPr>
          <w:rFonts w:eastAsiaTheme="minorEastAsia"/>
          <w:sz w:val="22"/>
          <w:szCs w:val="22"/>
          <w:lang w:eastAsia="zh-CN"/>
        </w:rPr>
        <w:t xml:space="preserve">/ CRH, dans le cadre du projet SDPER paiera aux Formateurs/Facilitateur accrédité de la DPC/Nord-Ouest des honoraires de  11500 gourdes par jour par formateur. Cependant, deux(2) jours supplémentaires lui seront accordés pour :a) la préparation de la formation  et b) la rédaction du rapport, soit un total de cinq (5) jours de travail. Donc, la DPC/Nord-Ouest percevra globalement des honoraires de 115,000 gourdes pour l’ensemble des cinq (5) jours de formation.  </w:t>
      </w:r>
    </w:p>
    <w:p w14:paraId="1362C463" w14:textId="77777777" w:rsidR="00BD2F58" w:rsidRPr="00CD3E25" w:rsidRDefault="00BD2F58" w:rsidP="00BD2F58">
      <w:pPr>
        <w:widowControl w:val="0"/>
        <w:tabs>
          <w:tab w:val="left" w:pos="220"/>
          <w:tab w:val="left" w:pos="720"/>
        </w:tabs>
        <w:autoSpaceDE w:val="0"/>
        <w:autoSpaceDN w:val="0"/>
        <w:adjustRightInd w:val="0"/>
        <w:spacing w:line="276" w:lineRule="auto"/>
        <w:jc w:val="both"/>
        <w:rPr>
          <w:rFonts w:eastAsiaTheme="minorEastAsia"/>
          <w:lang w:eastAsia="zh-CN"/>
        </w:rPr>
      </w:pPr>
    </w:p>
    <w:p w14:paraId="4F14BC77" w14:textId="77777777" w:rsidR="00BD2F58" w:rsidRPr="00CD3E25" w:rsidRDefault="00BD2F58" w:rsidP="00BD2F58">
      <w:pPr>
        <w:widowControl w:val="0"/>
        <w:tabs>
          <w:tab w:val="left" w:pos="220"/>
          <w:tab w:val="left" w:pos="720"/>
        </w:tabs>
        <w:autoSpaceDE w:val="0"/>
        <w:autoSpaceDN w:val="0"/>
        <w:adjustRightInd w:val="0"/>
        <w:spacing w:line="276" w:lineRule="auto"/>
        <w:jc w:val="both"/>
        <w:rPr>
          <w:rFonts w:eastAsiaTheme="minorEastAsia"/>
          <w:lang w:eastAsia="zh-CN"/>
        </w:rPr>
      </w:pPr>
      <w:r w:rsidRPr="00CD3E25">
        <w:rPr>
          <w:rFonts w:eastAsiaTheme="minorEastAsia"/>
          <w:lang w:eastAsia="zh-CN"/>
        </w:rPr>
        <w:t>T</w:t>
      </w:r>
      <w:r w:rsidRPr="00CD3E25">
        <w:rPr>
          <w:rFonts w:eastAsiaTheme="minorEastAsia"/>
          <w:b/>
          <w:u w:val="single"/>
          <w:lang w:eastAsia="zh-CN"/>
        </w:rPr>
        <w:t>ableau des jours de</w:t>
      </w:r>
      <w:r>
        <w:rPr>
          <w:rFonts w:eastAsiaTheme="minorEastAsia"/>
          <w:b/>
          <w:u w:val="single"/>
          <w:lang w:eastAsia="zh-CN"/>
        </w:rPr>
        <w:t xml:space="preserve"> travail du Formateur</w:t>
      </w:r>
      <w:r w:rsidRPr="00CD3E25">
        <w:rPr>
          <w:rFonts w:eastAsiaTheme="minorEastAsia"/>
          <w:lang w:eastAsia="zh-CN"/>
        </w:rPr>
        <w:t xml:space="preserve">.  </w:t>
      </w:r>
    </w:p>
    <w:tbl>
      <w:tblPr>
        <w:tblStyle w:val="TableGrid"/>
        <w:tblW w:w="10260" w:type="dxa"/>
        <w:tblInd w:w="-365" w:type="dxa"/>
        <w:tblLook w:val="04A0" w:firstRow="1" w:lastRow="0" w:firstColumn="1" w:lastColumn="0" w:noHBand="0" w:noVBand="1"/>
      </w:tblPr>
      <w:tblGrid>
        <w:gridCol w:w="2160"/>
        <w:gridCol w:w="3150"/>
        <w:gridCol w:w="1890"/>
        <w:gridCol w:w="3060"/>
      </w:tblGrid>
      <w:tr w:rsidR="00BD2F58" w:rsidRPr="00CD3E25" w14:paraId="154AECD6" w14:textId="77777777" w:rsidTr="002C4989">
        <w:trPr>
          <w:trHeight w:val="233"/>
        </w:trPr>
        <w:tc>
          <w:tcPr>
            <w:tcW w:w="2160" w:type="dxa"/>
            <w:shd w:val="clear" w:color="auto" w:fill="C5E0B3" w:themeFill="accent6" w:themeFillTint="66"/>
          </w:tcPr>
          <w:p w14:paraId="698F0B67" w14:textId="77777777" w:rsidR="00BD2F58" w:rsidRPr="00CD3E25" w:rsidRDefault="00BD2F58" w:rsidP="002C4989">
            <w:pPr>
              <w:widowControl w:val="0"/>
              <w:tabs>
                <w:tab w:val="left" w:pos="220"/>
                <w:tab w:val="left" w:pos="720"/>
              </w:tabs>
              <w:autoSpaceDE w:val="0"/>
              <w:autoSpaceDN w:val="0"/>
              <w:adjustRightInd w:val="0"/>
              <w:jc w:val="both"/>
              <w:rPr>
                <w:rFonts w:eastAsiaTheme="minorEastAsia"/>
                <w:b w:val="0"/>
                <w:sz w:val="18"/>
                <w:szCs w:val="18"/>
                <w:lang w:eastAsia="zh-CN"/>
              </w:rPr>
            </w:pPr>
            <w:r w:rsidRPr="00CD3E25">
              <w:rPr>
                <w:rFonts w:eastAsiaTheme="minorEastAsia"/>
                <w:sz w:val="18"/>
                <w:szCs w:val="18"/>
                <w:lang w:eastAsia="zh-CN"/>
              </w:rPr>
              <w:t>Jour</w:t>
            </w:r>
            <w:r>
              <w:rPr>
                <w:rFonts w:eastAsiaTheme="minorEastAsia"/>
                <w:sz w:val="18"/>
                <w:szCs w:val="18"/>
                <w:lang w:eastAsia="zh-CN"/>
              </w:rPr>
              <w:t>s</w:t>
            </w:r>
            <w:r w:rsidRPr="00CD3E25">
              <w:rPr>
                <w:rFonts w:eastAsiaTheme="minorEastAsia"/>
                <w:sz w:val="18"/>
                <w:szCs w:val="18"/>
                <w:lang w:eastAsia="zh-CN"/>
              </w:rPr>
              <w:t xml:space="preserve"> de travail calendaire compté</w:t>
            </w:r>
            <w:r>
              <w:rPr>
                <w:rFonts w:eastAsiaTheme="minorEastAsia"/>
                <w:sz w:val="18"/>
                <w:szCs w:val="18"/>
                <w:lang w:eastAsia="zh-CN"/>
              </w:rPr>
              <w:t>s</w:t>
            </w:r>
            <w:r w:rsidRPr="00CD3E25">
              <w:rPr>
                <w:rFonts w:eastAsiaTheme="minorEastAsia"/>
                <w:sz w:val="18"/>
                <w:szCs w:val="18"/>
                <w:lang w:eastAsia="zh-CN"/>
              </w:rPr>
              <w:t xml:space="preserve"> </w:t>
            </w:r>
          </w:p>
        </w:tc>
        <w:tc>
          <w:tcPr>
            <w:tcW w:w="3150" w:type="dxa"/>
            <w:shd w:val="clear" w:color="auto" w:fill="C5E0B3" w:themeFill="accent6" w:themeFillTint="66"/>
          </w:tcPr>
          <w:p w14:paraId="2FB55705" w14:textId="77777777" w:rsidR="00BD2F58" w:rsidRPr="00CD3E25" w:rsidRDefault="00BD2F58" w:rsidP="002C4989">
            <w:pPr>
              <w:widowControl w:val="0"/>
              <w:tabs>
                <w:tab w:val="left" w:pos="220"/>
                <w:tab w:val="left" w:pos="720"/>
              </w:tabs>
              <w:autoSpaceDE w:val="0"/>
              <w:autoSpaceDN w:val="0"/>
              <w:adjustRightInd w:val="0"/>
              <w:jc w:val="both"/>
              <w:rPr>
                <w:rFonts w:eastAsiaTheme="minorEastAsia"/>
                <w:b w:val="0"/>
                <w:sz w:val="18"/>
                <w:szCs w:val="18"/>
                <w:lang w:eastAsia="zh-CN"/>
              </w:rPr>
            </w:pPr>
            <w:r w:rsidRPr="00CD3E25">
              <w:rPr>
                <w:rFonts w:eastAsiaTheme="minorEastAsia"/>
                <w:sz w:val="18"/>
                <w:szCs w:val="18"/>
                <w:lang w:eastAsia="zh-CN"/>
              </w:rPr>
              <w:t xml:space="preserve">Temps de préparation de la formation </w:t>
            </w:r>
          </w:p>
        </w:tc>
        <w:tc>
          <w:tcPr>
            <w:tcW w:w="1890" w:type="dxa"/>
            <w:shd w:val="clear" w:color="auto" w:fill="C5E0B3" w:themeFill="accent6" w:themeFillTint="66"/>
          </w:tcPr>
          <w:p w14:paraId="5AD8242B" w14:textId="77777777" w:rsidR="00BD2F58" w:rsidRPr="00CD3E25" w:rsidRDefault="00BD2F58" w:rsidP="002C4989">
            <w:pPr>
              <w:widowControl w:val="0"/>
              <w:tabs>
                <w:tab w:val="left" w:pos="220"/>
                <w:tab w:val="left" w:pos="720"/>
              </w:tabs>
              <w:autoSpaceDE w:val="0"/>
              <w:autoSpaceDN w:val="0"/>
              <w:adjustRightInd w:val="0"/>
              <w:jc w:val="both"/>
              <w:rPr>
                <w:rFonts w:eastAsiaTheme="minorEastAsia"/>
                <w:b w:val="0"/>
                <w:sz w:val="18"/>
                <w:szCs w:val="18"/>
                <w:lang w:eastAsia="zh-CN"/>
              </w:rPr>
            </w:pPr>
            <w:r w:rsidRPr="00CD3E25">
              <w:rPr>
                <w:rFonts w:eastAsiaTheme="minorEastAsia"/>
                <w:sz w:val="18"/>
                <w:szCs w:val="18"/>
                <w:lang w:eastAsia="zh-CN"/>
              </w:rPr>
              <w:t>Période de formation</w:t>
            </w:r>
          </w:p>
        </w:tc>
        <w:tc>
          <w:tcPr>
            <w:tcW w:w="3060" w:type="dxa"/>
            <w:shd w:val="clear" w:color="auto" w:fill="C5E0B3" w:themeFill="accent6" w:themeFillTint="66"/>
          </w:tcPr>
          <w:p w14:paraId="30F07F28" w14:textId="77777777" w:rsidR="00BD2F58" w:rsidRPr="00CD3E25" w:rsidRDefault="00BD2F58" w:rsidP="002C4989">
            <w:pPr>
              <w:widowControl w:val="0"/>
              <w:tabs>
                <w:tab w:val="left" w:pos="220"/>
                <w:tab w:val="left" w:pos="720"/>
              </w:tabs>
              <w:autoSpaceDE w:val="0"/>
              <w:autoSpaceDN w:val="0"/>
              <w:adjustRightInd w:val="0"/>
              <w:jc w:val="both"/>
              <w:rPr>
                <w:rFonts w:eastAsiaTheme="minorEastAsia"/>
                <w:b w:val="0"/>
                <w:sz w:val="18"/>
                <w:szCs w:val="18"/>
                <w:lang w:eastAsia="zh-CN"/>
              </w:rPr>
            </w:pPr>
            <w:r>
              <w:rPr>
                <w:rFonts w:eastAsiaTheme="minorEastAsia"/>
                <w:sz w:val="18"/>
                <w:szCs w:val="18"/>
                <w:lang w:eastAsia="zh-CN"/>
              </w:rPr>
              <w:t xml:space="preserve">Période de </w:t>
            </w:r>
            <w:r w:rsidRPr="00CD3E25">
              <w:rPr>
                <w:rFonts w:eastAsiaTheme="minorEastAsia"/>
                <w:sz w:val="18"/>
                <w:szCs w:val="18"/>
                <w:lang w:eastAsia="zh-CN"/>
              </w:rPr>
              <w:t xml:space="preserve">préparation </w:t>
            </w:r>
            <w:r>
              <w:rPr>
                <w:rFonts w:eastAsiaTheme="minorEastAsia"/>
                <w:sz w:val="18"/>
                <w:szCs w:val="18"/>
                <w:lang w:eastAsia="zh-CN"/>
              </w:rPr>
              <w:t xml:space="preserve">et de </w:t>
            </w:r>
            <w:r w:rsidRPr="00CD3E25">
              <w:rPr>
                <w:rFonts w:eastAsiaTheme="minorEastAsia"/>
                <w:sz w:val="18"/>
                <w:szCs w:val="18"/>
                <w:lang w:eastAsia="zh-CN"/>
              </w:rPr>
              <w:t xml:space="preserve">soumission du rapport </w:t>
            </w:r>
          </w:p>
        </w:tc>
      </w:tr>
      <w:tr w:rsidR="00BD2F58" w:rsidRPr="00CD3E25" w14:paraId="2EBA2625" w14:textId="77777777" w:rsidTr="002C4989">
        <w:trPr>
          <w:trHeight w:val="701"/>
        </w:trPr>
        <w:tc>
          <w:tcPr>
            <w:tcW w:w="2160" w:type="dxa"/>
          </w:tcPr>
          <w:p w14:paraId="766C9645" w14:textId="77777777" w:rsidR="00BD2F58" w:rsidRPr="00797B01" w:rsidRDefault="00BD2F58" w:rsidP="002C4989">
            <w:pPr>
              <w:widowControl w:val="0"/>
              <w:tabs>
                <w:tab w:val="left" w:pos="220"/>
                <w:tab w:val="left" w:pos="720"/>
              </w:tabs>
              <w:autoSpaceDE w:val="0"/>
              <w:autoSpaceDN w:val="0"/>
              <w:adjustRightInd w:val="0"/>
              <w:spacing w:after="240"/>
              <w:jc w:val="center"/>
              <w:rPr>
                <w:rFonts w:eastAsiaTheme="minorEastAsia"/>
                <w:sz w:val="20"/>
                <w:szCs w:val="20"/>
                <w:lang w:eastAsia="zh-CN"/>
              </w:rPr>
            </w:pPr>
            <w:r w:rsidRPr="00797B01">
              <w:rPr>
                <w:rFonts w:eastAsiaTheme="minorEastAsia"/>
                <w:sz w:val="20"/>
                <w:szCs w:val="20"/>
                <w:lang w:eastAsia="zh-CN"/>
              </w:rPr>
              <w:t>(5) Jours en tout.</w:t>
            </w:r>
          </w:p>
        </w:tc>
        <w:tc>
          <w:tcPr>
            <w:tcW w:w="3150" w:type="dxa"/>
          </w:tcPr>
          <w:p w14:paraId="3ECDCEAD" w14:textId="77777777" w:rsidR="00BD2F58" w:rsidRPr="00797B01" w:rsidRDefault="00BD2F58" w:rsidP="002C4989">
            <w:pPr>
              <w:widowControl w:val="0"/>
              <w:tabs>
                <w:tab w:val="left" w:pos="220"/>
                <w:tab w:val="left" w:pos="720"/>
              </w:tabs>
              <w:autoSpaceDE w:val="0"/>
              <w:autoSpaceDN w:val="0"/>
              <w:adjustRightInd w:val="0"/>
              <w:jc w:val="both"/>
              <w:rPr>
                <w:rFonts w:eastAsiaTheme="minorEastAsia"/>
                <w:sz w:val="20"/>
                <w:szCs w:val="20"/>
                <w:lang w:eastAsia="zh-CN"/>
              </w:rPr>
            </w:pPr>
            <w:r w:rsidRPr="00797B01">
              <w:rPr>
                <w:rFonts w:eastAsiaTheme="minorEastAsia"/>
                <w:sz w:val="20"/>
                <w:szCs w:val="20"/>
                <w:lang w:eastAsia="zh-CN"/>
              </w:rPr>
              <w:t>(1</w:t>
            </w:r>
            <w:r>
              <w:rPr>
                <w:rFonts w:eastAsiaTheme="minorEastAsia"/>
                <w:sz w:val="20"/>
                <w:szCs w:val="20"/>
                <w:lang w:eastAsia="zh-CN"/>
              </w:rPr>
              <w:t>) Jour</w:t>
            </w:r>
            <w:r w:rsidRPr="00797B01">
              <w:rPr>
                <w:rFonts w:eastAsiaTheme="minorEastAsia"/>
                <w:sz w:val="20"/>
                <w:szCs w:val="20"/>
                <w:lang w:eastAsia="zh-CN"/>
              </w:rPr>
              <w:t xml:space="preserve"> avant la formation. </w:t>
            </w:r>
          </w:p>
        </w:tc>
        <w:tc>
          <w:tcPr>
            <w:tcW w:w="1890" w:type="dxa"/>
          </w:tcPr>
          <w:p w14:paraId="787E9531" w14:textId="77777777" w:rsidR="00BD2F58" w:rsidRPr="00797B01" w:rsidRDefault="00BD2F58" w:rsidP="002C4989">
            <w:pPr>
              <w:widowControl w:val="0"/>
              <w:tabs>
                <w:tab w:val="left" w:pos="220"/>
                <w:tab w:val="left" w:pos="720"/>
              </w:tabs>
              <w:autoSpaceDE w:val="0"/>
              <w:autoSpaceDN w:val="0"/>
              <w:adjustRightInd w:val="0"/>
              <w:spacing w:after="240"/>
              <w:jc w:val="center"/>
              <w:rPr>
                <w:rFonts w:eastAsiaTheme="minorEastAsia"/>
                <w:sz w:val="20"/>
                <w:szCs w:val="20"/>
                <w:lang w:eastAsia="zh-CN"/>
              </w:rPr>
            </w:pPr>
            <w:r w:rsidRPr="00797B01">
              <w:rPr>
                <w:rFonts w:eastAsiaTheme="minorEastAsia"/>
                <w:sz w:val="20"/>
                <w:szCs w:val="20"/>
                <w:lang w:eastAsia="zh-CN"/>
              </w:rPr>
              <w:t xml:space="preserve">(3) jours </w:t>
            </w:r>
          </w:p>
        </w:tc>
        <w:tc>
          <w:tcPr>
            <w:tcW w:w="3060" w:type="dxa"/>
          </w:tcPr>
          <w:p w14:paraId="2B2E6A8B" w14:textId="77777777" w:rsidR="00BD2F58" w:rsidRPr="00797B01" w:rsidRDefault="00BD2F58" w:rsidP="002C4989">
            <w:pPr>
              <w:widowControl w:val="0"/>
              <w:tabs>
                <w:tab w:val="left" w:pos="220"/>
                <w:tab w:val="left" w:pos="720"/>
              </w:tabs>
              <w:autoSpaceDE w:val="0"/>
              <w:autoSpaceDN w:val="0"/>
              <w:adjustRightInd w:val="0"/>
              <w:spacing w:after="240"/>
              <w:jc w:val="center"/>
              <w:rPr>
                <w:rFonts w:eastAsiaTheme="minorEastAsia"/>
                <w:sz w:val="20"/>
                <w:szCs w:val="20"/>
                <w:lang w:eastAsia="zh-CN"/>
              </w:rPr>
            </w:pPr>
            <w:r w:rsidRPr="00797B01">
              <w:rPr>
                <w:rFonts w:eastAsiaTheme="minorEastAsia"/>
                <w:sz w:val="20"/>
                <w:szCs w:val="20"/>
                <w:lang w:eastAsia="zh-CN"/>
              </w:rPr>
              <w:t xml:space="preserve">(1) Jours. </w:t>
            </w:r>
          </w:p>
        </w:tc>
      </w:tr>
    </w:tbl>
    <w:p w14:paraId="36563681" w14:textId="77777777" w:rsidR="00BD2F58" w:rsidRPr="00CD3E25" w:rsidRDefault="00BD2F58" w:rsidP="00BD2F58">
      <w:pPr>
        <w:widowControl w:val="0"/>
        <w:tabs>
          <w:tab w:val="left" w:pos="220"/>
          <w:tab w:val="left" w:pos="720"/>
        </w:tabs>
        <w:autoSpaceDE w:val="0"/>
        <w:autoSpaceDN w:val="0"/>
        <w:adjustRightInd w:val="0"/>
        <w:spacing w:line="360" w:lineRule="auto"/>
        <w:jc w:val="both"/>
        <w:rPr>
          <w:rFonts w:eastAsiaTheme="minorEastAsia"/>
          <w:b/>
          <w:bCs/>
          <w:color w:val="000000"/>
          <w:lang w:eastAsia="zh-CN"/>
        </w:rPr>
      </w:pPr>
    </w:p>
    <w:p w14:paraId="2475BD45" w14:textId="77777777" w:rsidR="00BD2F58" w:rsidRPr="00DD2467" w:rsidRDefault="00BD2F58" w:rsidP="00BD2F58">
      <w:pPr>
        <w:widowControl w:val="0"/>
        <w:tabs>
          <w:tab w:val="left" w:pos="220"/>
          <w:tab w:val="left" w:pos="720"/>
        </w:tabs>
        <w:autoSpaceDE w:val="0"/>
        <w:autoSpaceDN w:val="0"/>
        <w:adjustRightInd w:val="0"/>
        <w:spacing w:line="360" w:lineRule="auto"/>
        <w:jc w:val="both"/>
        <w:rPr>
          <w:rFonts w:eastAsiaTheme="minorEastAsia"/>
          <w:b/>
          <w:bCs/>
          <w:color w:val="000000"/>
          <w:sz w:val="22"/>
          <w:u w:val="single"/>
          <w:lang w:eastAsia="zh-CN"/>
        </w:rPr>
      </w:pPr>
      <w:r w:rsidRPr="00DD2467">
        <w:rPr>
          <w:rFonts w:eastAsiaTheme="minorEastAsia"/>
          <w:b/>
          <w:bCs/>
          <w:color w:val="000000"/>
          <w:sz w:val="22"/>
          <w:lang w:eastAsia="zh-CN"/>
        </w:rPr>
        <w:t xml:space="preserve">XI-. </w:t>
      </w:r>
      <w:r w:rsidRPr="00DD2467">
        <w:rPr>
          <w:rFonts w:eastAsiaTheme="minorEastAsia"/>
          <w:b/>
          <w:bCs/>
          <w:color w:val="000000"/>
          <w:sz w:val="22"/>
          <w:u w:val="single"/>
          <w:lang w:eastAsia="zh-CN"/>
        </w:rPr>
        <w:t xml:space="preserve">Aspects Logistiques liés à l’organisation de la session de formation </w:t>
      </w:r>
    </w:p>
    <w:p w14:paraId="53EAC1B4" w14:textId="77777777" w:rsidR="00BD2F58" w:rsidRPr="00DD2467" w:rsidRDefault="00BD2F58" w:rsidP="00BD2F58">
      <w:pPr>
        <w:widowControl w:val="0"/>
        <w:tabs>
          <w:tab w:val="left" w:pos="220"/>
          <w:tab w:val="left" w:pos="720"/>
        </w:tabs>
        <w:autoSpaceDE w:val="0"/>
        <w:autoSpaceDN w:val="0"/>
        <w:adjustRightInd w:val="0"/>
        <w:spacing w:line="360" w:lineRule="auto"/>
        <w:jc w:val="both"/>
        <w:rPr>
          <w:rFonts w:eastAsiaTheme="minorEastAsia"/>
          <w:color w:val="000000"/>
          <w:sz w:val="22"/>
          <w:lang w:eastAsia="zh-CN"/>
        </w:rPr>
      </w:pPr>
      <w:r w:rsidRPr="00DD2467">
        <w:rPr>
          <w:rFonts w:eastAsiaTheme="minorEastAsia"/>
          <w:b/>
          <w:color w:val="000000"/>
          <w:sz w:val="22"/>
          <w:lang w:eastAsia="zh-CN"/>
        </w:rPr>
        <w:t xml:space="preserve">Espace &amp; Matériels didactiques, Restauration. </w:t>
      </w:r>
      <w:r w:rsidRPr="00DD2467">
        <w:rPr>
          <w:rFonts w:eastAsiaTheme="minorEastAsia"/>
          <w:color w:val="000000"/>
          <w:sz w:val="22"/>
          <w:lang w:eastAsia="zh-CN"/>
        </w:rPr>
        <w:t xml:space="preserve"> </w:t>
      </w:r>
    </w:p>
    <w:p w14:paraId="7015F4B9" w14:textId="77777777" w:rsidR="00BD2F58" w:rsidRPr="00DD2467" w:rsidRDefault="00BD2F58" w:rsidP="00BD2F58">
      <w:pPr>
        <w:widowControl w:val="0"/>
        <w:tabs>
          <w:tab w:val="left" w:pos="220"/>
          <w:tab w:val="left" w:pos="720"/>
        </w:tabs>
        <w:autoSpaceDE w:val="0"/>
        <w:autoSpaceDN w:val="0"/>
        <w:adjustRightInd w:val="0"/>
        <w:spacing w:after="240" w:line="360" w:lineRule="auto"/>
        <w:jc w:val="both"/>
        <w:rPr>
          <w:rFonts w:eastAsiaTheme="minorEastAsia"/>
          <w:color w:val="000000"/>
          <w:sz w:val="22"/>
          <w:lang w:eastAsia="zh-CN"/>
        </w:rPr>
      </w:pPr>
      <w:r w:rsidRPr="00DD2467">
        <w:rPr>
          <w:rFonts w:eastAsiaTheme="minorEastAsia"/>
          <w:color w:val="000000"/>
          <w:sz w:val="22"/>
          <w:lang w:eastAsia="zh-CN"/>
        </w:rPr>
        <w:t xml:space="preserve">La formation se déroulera au bureau régional de la Croix Rouge de Port-de-paix. L’environnement devra être électrifié, aménagé de manière à créer  une ambiance favorable à l’apprentissage. Les matériels de base, seront fournis par la </w:t>
      </w:r>
      <w:r w:rsidRPr="00DD2467">
        <w:rPr>
          <w:rFonts w:eastAsiaTheme="minorEastAsia"/>
          <w:sz w:val="22"/>
          <w:lang w:eastAsia="zh-CN"/>
        </w:rPr>
        <w:t>CRH dans le cadre du projet SDPER</w:t>
      </w:r>
      <w:r w:rsidRPr="00DD2467">
        <w:rPr>
          <w:rFonts w:eastAsiaTheme="minorEastAsia"/>
          <w:color w:val="000000"/>
          <w:sz w:val="22"/>
          <w:lang w:eastAsia="zh-CN"/>
        </w:rPr>
        <w:t xml:space="preserve">. Ces matériels incluent un rétroprojecteur, flips chart, trépieds, feutres, cahiers, plumes, classeurs, document etc., aux participants. </w:t>
      </w:r>
    </w:p>
    <w:p w14:paraId="155A5159" w14:textId="77777777" w:rsidR="00E03D7A" w:rsidRPr="00BD2F58" w:rsidRDefault="00BD2F58" w:rsidP="00BD2F58">
      <w:pPr>
        <w:widowControl w:val="0"/>
        <w:tabs>
          <w:tab w:val="left" w:pos="220"/>
          <w:tab w:val="left" w:pos="720"/>
        </w:tabs>
        <w:autoSpaceDE w:val="0"/>
        <w:autoSpaceDN w:val="0"/>
        <w:adjustRightInd w:val="0"/>
        <w:spacing w:after="240" w:line="360" w:lineRule="auto"/>
        <w:jc w:val="both"/>
        <w:rPr>
          <w:rFonts w:eastAsiaTheme="minorEastAsia"/>
          <w:color w:val="000000"/>
          <w:sz w:val="22"/>
          <w:lang w:eastAsia="zh-CN"/>
        </w:rPr>
      </w:pPr>
      <w:r w:rsidRPr="00DD2467">
        <w:rPr>
          <w:rFonts w:eastAsiaTheme="minorEastAsia"/>
          <w:color w:val="000000"/>
          <w:sz w:val="22"/>
          <w:lang w:eastAsia="zh-CN"/>
        </w:rPr>
        <w:t xml:space="preserve">Le projet assurera aussi l’hébergement, le souper et le transport des volontaires venant de Bombardopolis, Bassin Bleu et d’Anse-a-Foleur, ainsi que la restauration de cette formation durant ces trois jours. </w:t>
      </w:r>
    </w:p>
    <w:sectPr w:rsidR="00E03D7A" w:rsidRPr="00BD2F58">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FB1E" w14:textId="77777777" w:rsidR="002C4C1B" w:rsidRDefault="002C4C1B" w:rsidP="00BD2F58">
      <w:r>
        <w:separator/>
      </w:r>
    </w:p>
  </w:endnote>
  <w:endnote w:type="continuationSeparator" w:id="0">
    <w:p w14:paraId="6213C68E" w14:textId="77777777" w:rsidR="002C4C1B" w:rsidRDefault="002C4C1B" w:rsidP="00BD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Light">
    <w:panose1 w:val="020B0502040204020203"/>
    <w:charset w:val="86"/>
    <w:family w:val="swiss"/>
    <w:pitch w:val="variable"/>
    <w:sig w:usb0="A00002BF" w:usb1="28CF0010" w:usb2="00000016" w:usb3="00000000" w:csb0="0004000F" w:csb1="00000000"/>
  </w:font>
  <w:font w:name="Ebrima">
    <w:panose1 w:val="02000000000000000000"/>
    <w:charset w:val="00"/>
    <w:family w:val="auto"/>
    <w:pitch w:val="variable"/>
    <w:sig w:usb0="A000005F" w:usb1="02000041" w:usb2="00000800" w:usb3="00000000" w:csb0="00000093"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592B" w14:textId="77777777" w:rsidR="002C4C1B" w:rsidRDefault="002C4C1B" w:rsidP="00BD2F58">
      <w:r>
        <w:separator/>
      </w:r>
    </w:p>
  </w:footnote>
  <w:footnote w:type="continuationSeparator" w:id="0">
    <w:p w14:paraId="655BF5AD" w14:textId="77777777" w:rsidR="002C4C1B" w:rsidRDefault="002C4C1B" w:rsidP="00BD2F58">
      <w:r>
        <w:continuationSeparator/>
      </w:r>
    </w:p>
  </w:footnote>
  <w:footnote w:id="1">
    <w:p w14:paraId="40D5A11C" w14:textId="77777777" w:rsidR="00BD2F58" w:rsidRPr="007637C6" w:rsidRDefault="00BD2F58" w:rsidP="00BD2F58">
      <w:pPr>
        <w:pStyle w:val="FootnoteText"/>
        <w:rPr>
          <w:rFonts w:ascii="Times New Roman" w:hAnsi="Times New Roman"/>
          <w:sz w:val="16"/>
          <w:szCs w:val="16"/>
        </w:rPr>
      </w:pPr>
      <w:r>
        <w:rPr>
          <w:rStyle w:val="FootnoteReference"/>
          <w:rFonts w:eastAsiaTheme="majorEastAsia"/>
        </w:rPr>
        <w:footnoteRef/>
      </w:r>
      <w:r>
        <w:t xml:space="preserve"> </w:t>
      </w:r>
      <w:r>
        <w:rPr>
          <w:rFonts w:ascii="Times New Roman" w:hAnsi="Times New Roman"/>
          <w:sz w:val="16"/>
          <w:szCs w:val="16"/>
          <w:lang w:val="fr-BE"/>
        </w:rPr>
        <w:t>Port-de-Paix, Bombardopolis, Jean Rabel, Bassin Bleu et Anse-a-Foleur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CC34" w14:textId="77777777" w:rsidR="00722CB0" w:rsidRDefault="000F47B7">
    <w:pPr>
      <w:pStyle w:val="Header"/>
    </w:pPr>
    <w:r>
      <w:rPr>
        <w:rFonts w:ascii="Baskerville Old Face" w:hAnsi="Baskerville Old Face" w:cstheme="majorBidi"/>
        <w:b/>
        <w:bCs/>
        <w:noProof/>
        <w:color w:val="000000"/>
        <w:sz w:val="40"/>
        <w:szCs w:val="40"/>
        <w:lang w:val="en-US"/>
      </w:rPr>
      <w:drawing>
        <wp:anchor distT="0" distB="0" distL="114300" distR="114300" simplePos="0" relativeHeight="251660288" behindDoc="0" locked="0" layoutInCell="1" allowOverlap="1" wp14:anchorId="67D51D42" wp14:editId="75D04B15">
          <wp:simplePos x="0" y="0"/>
          <wp:positionH relativeFrom="margin">
            <wp:posOffset>4152265</wp:posOffset>
          </wp:positionH>
          <wp:positionV relativeFrom="paragraph">
            <wp:posOffset>-434340</wp:posOffset>
          </wp:positionV>
          <wp:extent cx="876300" cy="9182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18210"/>
                  </a:xfrm>
                  <a:prstGeom prst="rect">
                    <a:avLst/>
                  </a:prstGeom>
                  <a:noFill/>
                </pic:spPr>
              </pic:pic>
            </a:graphicData>
          </a:graphic>
          <wp14:sizeRelH relativeFrom="page">
            <wp14:pctWidth>0</wp14:pctWidth>
          </wp14:sizeRelH>
          <wp14:sizeRelV relativeFrom="page">
            <wp14:pctHeight>0</wp14:pctHeight>
          </wp14:sizeRelV>
        </wp:anchor>
      </w:drawing>
    </w:r>
    <w:r w:rsidRPr="00AF4DD1">
      <w:rPr>
        <w:rFonts w:ascii="Baskerville Old Face" w:hAnsi="Baskerville Old Face" w:cstheme="majorBidi"/>
        <w:b/>
        <w:bCs/>
        <w:noProof/>
        <w:color w:val="000000"/>
        <w:sz w:val="40"/>
        <w:szCs w:val="40"/>
        <w:lang w:val="en-US"/>
      </w:rPr>
      <w:drawing>
        <wp:anchor distT="0" distB="0" distL="114300" distR="114300" simplePos="0" relativeHeight="251659264" behindDoc="0" locked="0" layoutInCell="1" allowOverlap="1" wp14:anchorId="52DD6A3A" wp14:editId="134107D1">
          <wp:simplePos x="0" y="0"/>
          <wp:positionH relativeFrom="column">
            <wp:posOffset>-28575</wp:posOffset>
          </wp:positionH>
          <wp:positionV relativeFrom="paragraph">
            <wp:posOffset>-438150</wp:posOffset>
          </wp:positionV>
          <wp:extent cx="2095500" cy="952500"/>
          <wp:effectExtent l="0" t="0" r="0" b="0"/>
          <wp:wrapNone/>
          <wp:docPr id="3" name="Picture 3" descr="ARC_Logo_Bttn_HorizStk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Bttn_HorizStkd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7A01"/>
    <w:multiLevelType w:val="hybridMultilevel"/>
    <w:tmpl w:val="B9B0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D1755"/>
    <w:multiLevelType w:val="hybridMultilevel"/>
    <w:tmpl w:val="456CC1D0"/>
    <w:lvl w:ilvl="0" w:tplc="C69A77D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0085747">
    <w:abstractNumId w:val="1"/>
  </w:num>
  <w:num w:numId="2" w16cid:durableId="87322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58"/>
    <w:rsid w:val="000F47B7"/>
    <w:rsid w:val="002C4C1B"/>
    <w:rsid w:val="00657039"/>
    <w:rsid w:val="0066319B"/>
    <w:rsid w:val="00AB4E38"/>
    <w:rsid w:val="00BD2F58"/>
    <w:rsid w:val="00DD038A"/>
    <w:rsid w:val="00E0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62D5"/>
  <w15:chartTrackingRefBased/>
  <w15:docId w15:val="{DEA1C22B-4686-4AD6-8A48-408BCE6E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b/>
        <w:sz w:val="24"/>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58"/>
    <w:pPr>
      <w:spacing w:after="0" w:line="240" w:lineRule="auto"/>
    </w:pPr>
    <w:rPr>
      <w:rFonts w:ascii="Times New Roman" w:eastAsia="Times New Roman" w:hAnsi="Times New Roman" w:cs="Times New Roman"/>
      <w:b w:val="0"/>
      <w:szCs w:val="24"/>
      <w:u w:val="none"/>
      <w:lang w:val="fr-FR"/>
    </w:rPr>
  </w:style>
  <w:style w:type="paragraph" w:styleId="Heading1">
    <w:name w:val="heading 1"/>
    <w:basedOn w:val="Normal"/>
    <w:next w:val="Normal"/>
    <w:link w:val="Heading1Char"/>
    <w:uiPriority w:val="9"/>
    <w:qFormat/>
    <w:rsid w:val="006631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D2F58"/>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apes1">
    <w:name w:val="Etapes 1"/>
    <w:basedOn w:val="TOAHeading"/>
    <w:link w:val="Etapes1Car"/>
    <w:qFormat/>
    <w:rsid w:val="0066319B"/>
    <w:pPr>
      <w:spacing w:before="0" w:after="200" w:line="360" w:lineRule="auto"/>
      <w:ind w:left="720"/>
    </w:pPr>
    <w:rPr>
      <w:rFonts w:ascii="Arial Narrow" w:eastAsia="Microsoft YaHei Light" w:hAnsi="Arial Narrow"/>
      <w:color w:val="000000" w:themeColor="text1"/>
      <w:sz w:val="30"/>
    </w:rPr>
  </w:style>
  <w:style w:type="character" w:customStyle="1" w:styleId="Etapes1Car">
    <w:name w:val="Etapes 1 Car"/>
    <w:basedOn w:val="DefaultParagraphFont"/>
    <w:link w:val="Etapes1"/>
    <w:rsid w:val="0066319B"/>
    <w:rPr>
      <w:rFonts w:ascii="Arial Narrow" w:eastAsia="Microsoft YaHei Light" w:hAnsi="Arial Narrow" w:cstheme="majorBidi"/>
      <w:b w:val="0"/>
      <w:bCs/>
      <w:color w:val="000000" w:themeColor="text1"/>
      <w:sz w:val="30"/>
      <w:szCs w:val="24"/>
      <w:lang w:val="fr-FR"/>
    </w:rPr>
  </w:style>
  <w:style w:type="paragraph" w:styleId="TOAHeading">
    <w:name w:val="toa heading"/>
    <w:basedOn w:val="Normal"/>
    <w:next w:val="Normal"/>
    <w:uiPriority w:val="99"/>
    <w:semiHidden/>
    <w:unhideWhenUsed/>
    <w:rsid w:val="0066319B"/>
    <w:pPr>
      <w:spacing w:before="120"/>
    </w:pPr>
    <w:rPr>
      <w:rFonts w:asciiTheme="majorHAnsi" w:eastAsiaTheme="majorEastAsia" w:hAnsiTheme="majorHAnsi" w:cstheme="majorBidi"/>
      <w:b/>
      <w:bCs/>
    </w:rPr>
  </w:style>
  <w:style w:type="paragraph" w:customStyle="1" w:styleId="Step1">
    <w:name w:val="Step 1"/>
    <w:basedOn w:val="Heading1"/>
    <w:link w:val="Step1Car"/>
    <w:autoRedefine/>
    <w:qFormat/>
    <w:rsid w:val="0066319B"/>
    <w:pPr>
      <w:keepNext w:val="0"/>
      <w:keepLines w:val="0"/>
      <w:spacing w:before="360" w:after="480"/>
      <w:ind w:left="720"/>
    </w:pPr>
    <w:rPr>
      <w:rFonts w:ascii="Ebrima" w:eastAsiaTheme="minorHAnsi" w:hAnsi="Ebrima" w:cs="Myanmar Text"/>
      <w:b/>
      <w:smallCaps/>
      <w:color w:val="auto"/>
      <w:spacing w:val="5"/>
    </w:rPr>
  </w:style>
  <w:style w:type="character" w:customStyle="1" w:styleId="Step1Car">
    <w:name w:val="Step 1 Car"/>
    <w:basedOn w:val="DefaultParagraphFont"/>
    <w:link w:val="Step1"/>
    <w:rsid w:val="0066319B"/>
    <w:rPr>
      <w:rFonts w:ascii="Ebrima" w:hAnsi="Ebrima" w:cs="Myanmar Text"/>
      <w:b w:val="0"/>
      <w:smallCaps/>
      <w:spacing w:val="5"/>
      <w:sz w:val="32"/>
      <w:szCs w:val="32"/>
    </w:rPr>
  </w:style>
  <w:style w:type="character" w:customStyle="1" w:styleId="Heading1Char">
    <w:name w:val="Heading 1 Char"/>
    <w:basedOn w:val="DefaultParagraphFont"/>
    <w:link w:val="Heading1"/>
    <w:uiPriority w:val="9"/>
    <w:rsid w:val="006631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D2F58"/>
    <w:rPr>
      <w:rFonts w:ascii="Times New Roman" w:eastAsia="Times New Roman" w:hAnsi="Times New Roman" w:cs="Times New Roman"/>
      <w:bCs/>
      <w:szCs w:val="24"/>
      <w:u w:val="none"/>
      <w:lang w:val="fr-FR"/>
    </w:rPr>
  </w:style>
  <w:style w:type="paragraph" w:styleId="BodyText2">
    <w:name w:val="Body Text 2"/>
    <w:basedOn w:val="Normal"/>
    <w:link w:val="BodyText2Char"/>
    <w:rsid w:val="00BD2F58"/>
    <w:pPr>
      <w:jc w:val="both"/>
    </w:pPr>
  </w:style>
  <w:style w:type="character" w:customStyle="1" w:styleId="BodyText2Char">
    <w:name w:val="Body Text 2 Char"/>
    <w:basedOn w:val="DefaultParagraphFont"/>
    <w:link w:val="BodyText2"/>
    <w:rsid w:val="00BD2F58"/>
    <w:rPr>
      <w:rFonts w:ascii="Times New Roman" w:eastAsia="Times New Roman" w:hAnsi="Times New Roman" w:cs="Times New Roman"/>
      <w:b w:val="0"/>
      <w:szCs w:val="24"/>
      <w:u w:val="none"/>
      <w:lang w:val="fr-FR"/>
    </w:rPr>
  </w:style>
  <w:style w:type="paragraph" w:styleId="FootnoteText">
    <w:name w:val="footnote text"/>
    <w:basedOn w:val="Normal"/>
    <w:link w:val="FootnoteTextChar"/>
    <w:uiPriority w:val="99"/>
    <w:semiHidden/>
    <w:unhideWhenUsed/>
    <w:rsid w:val="00BD2F58"/>
    <w:rPr>
      <w:rFonts w:ascii="Arial" w:hAnsi="Arial"/>
      <w:sz w:val="20"/>
      <w:szCs w:val="20"/>
      <w:lang w:eastAsia="fr-FR"/>
    </w:rPr>
  </w:style>
  <w:style w:type="character" w:customStyle="1" w:styleId="FootnoteTextChar">
    <w:name w:val="Footnote Text Char"/>
    <w:basedOn w:val="DefaultParagraphFont"/>
    <w:link w:val="FootnoteText"/>
    <w:uiPriority w:val="99"/>
    <w:semiHidden/>
    <w:rsid w:val="00BD2F58"/>
    <w:rPr>
      <w:rFonts w:ascii="Arial" w:eastAsia="Times New Roman" w:hAnsi="Arial" w:cs="Times New Roman"/>
      <w:b w:val="0"/>
      <w:sz w:val="20"/>
      <w:szCs w:val="20"/>
      <w:u w:val="none"/>
      <w:lang w:val="fr-FR" w:eastAsia="fr-FR"/>
    </w:rPr>
  </w:style>
  <w:style w:type="character" w:styleId="FootnoteReference">
    <w:name w:val="footnote reference"/>
    <w:basedOn w:val="DefaultParagraphFont"/>
    <w:uiPriority w:val="99"/>
    <w:semiHidden/>
    <w:unhideWhenUsed/>
    <w:rsid w:val="00BD2F58"/>
    <w:rPr>
      <w:vertAlign w:val="superscript"/>
    </w:rPr>
  </w:style>
  <w:style w:type="table" w:styleId="TableGrid">
    <w:name w:val="Table Grid"/>
    <w:basedOn w:val="TableNormal"/>
    <w:uiPriority w:val="39"/>
    <w:rsid w:val="00BD2F58"/>
    <w:pPr>
      <w:spacing w:after="0" w:line="240" w:lineRule="auto"/>
    </w:pPr>
    <w:rPr>
      <w:rFonts w:asciiTheme="minorHAnsi" w:hAnsiTheme="minorHAnsi" w:cstheme="minorBidi"/>
      <w:b w:val="0"/>
      <w:sz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F58"/>
    <w:pPr>
      <w:tabs>
        <w:tab w:val="center" w:pos="4513"/>
        <w:tab w:val="right" w:pos="9026"/>
      </w:tabs>
    </w:pPr>
  </w:style>
  <w:style w:type="character" w:customStyle="1" w:styleId="HeaderChar">
    <w:name w:val="Header Char"/>
    <w:basedOn w:val="DefaultParagraphFont"/>
    <w:link w:val="Header"/>
    <w:uiPriority w:val="99"/>
    <w:rsid w:val="00BD2F58"/>
    <w:rPr>
      <w:rFonts w:ascii="Times New Roman" w:eastAsia="Times New Roman" w:hAnsi="Times New Roman" w:cs="Times New Roman"/>
      <w:b w:val="0"/>
      <w:szCs w:val="24"/>
      <w:u w:val="none"/>
      <w:lang w:val="fr-FR"/>
    </w:rPr>
  </w:style>
  <w:style w:type="paragraph" w:styleId="ListParagraph">
    <w:name w:val="List Paragraph"/>
    <w:basedOn w:val="Normal"/>
    <w:uiPriority w:val="34"/>
    <w:qFormat/>
    <w:rsid w:val="00BD2F58"/>
    <w:pPr>
      <w:ind w:left="720"/>
      <w:contextualSpacing/>
    </w:pPr>
  </w:style>
  <w:style w:type="paragraph" w:styleId="Footer">
    <w:name w:val="footer"/>
    <w:basedOn w:val="Normal"/>
    <w:link w:val="FooterChar"/>
    <w:uiPriority w:val="99"/>
    <w:unhideWhenUsed/>
    <w:rsid w:val="00DD038A"/>
    <w:pPr>
      <w:tabs>
        <w:tab w:val="center" w:pos="4680"/>
        <w:tab w:val="right" w:pos="9360"/>
      </w:tabs>
    </w:pPr>
  </w:style>
  <w:style w:type="character" w:customStyle="1" w:styleId="FooterChar">
    <w:name w:val="Footer Char"/>
    <w:basedOn w:val="DefaultParagraphFont"/>
    <w:link w:val="Footer"/>
    <w:uiPriority w:val="99"/>
    <w:rsid w:val="00DD038A"/>
    <w:rPr>
      <w:rFonts w:ascii="Times New Roman" w:eastAsia="Times New Roman" w:hAnsi="Times New Roman" w:cs="Times New Roman"/>
      <w:b w:val="0"/>
      <w:szCs w:val="24"/>
      <w:u w:val="no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Dumercie LUBIN</dc:creator>
  <cp:keywords/>
  <dc:description/>
  <cp:lastModifiedBy> </cp:lastModifiedBy>
  <cp:revision>2</cp:revision>
  <dcterms:created xsi:type="dcterms:W3CDTF">2022-05-27T16:22:00Z</dcterms:created>
  <dcterms:modified xsi:type="dcterms:W3CDTF">2022-05-27T16:22:00Z</dcterms:modified>
</cp:coreProperties>
</file>